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ED1F" w14:textId="6C215A72" w:rsidR="00284C35" w:rsidRPr="00A86AC2" w:rsidRDefault="00D50BB6" w:rsidP="00D50BB6">
      <w:pPr>
        <w:pStyle w:val="Heading1"/>
      </w:pPr>
      <w:bookmarkStart w:id="0" w:name="_Toc370903014"/>
      <w:bookmarkStart w:id="1" w:name="_GoBack"/>
      <w:bookmarkEnd w:id="1"/>
      <w:r w:rsidRPr="00A86AC2">
        <w:t xml:space="preserve">Appendix 2 </w:t>
      </w:r>
      <w:r w:rsidRPr="00A86AC2">
        <w:rPr>
          <w:rFonts w:hint="eastAsia"/>
        </w:rPr>
        <w:t>–</w:t>
      </w:r>
      <w:r w:rsidRPr="00A86AC2">
        <w:t xml:space="preserve"> </w:t>
      </w:r>
      <w:r>
        <w:t>S</w:t>
      </w:r>
      <w:r w:rsidRPr="00A86AC2">
        <w:t xml:space="preserve">econdary </w:t>
      </w:r>
      <w:r w:rsidR="002D4495">
        <w:t>c</w:t>
      </w:r>
      <w:r w:rsidRPr="00A86AC2">
        <w:t>are tramadol audit</w:t>
      </w:r>
      <w:bookmarkEnd w:id="0"/>
    </w:p>
    <w:p w14:paraId="0F058765" w14:textId="77777777" w:rsidR="00284C35" w:rsidRPr="00D50BB6" w:rsidRDefault="00284C35" w:rsidP="00284C35">
      <w:pPr>
        <w:rPr>
          <w:rFonts w:ascii="Arial" w:hAnsi="Arial" w:cs="Arial"/>
          <w:b/>
          <w:color w:val="000000"/>
        </w:rPr>
      </w:pPr>
    </w:p>
    <w:p w14:paraId="6227EBF4" w14:textId="77777777" w:rsidR="00284C35" w:rsidRPr="00D50BB6" w:rsidRDefault="00284C35" w:rsidP="00D50BB6">
      <w:pPr>
        <w:spacing w:after="60"/>
        <w:rPr>
          <w:rFonts w:ascii="Arial" w:hAnsi="Arial" w:cs="Arial"/>
          <w:b/>
        </w:rPr>
      </w:pPr>
      <w:r w:rsidRPr="00D50BB6">
        <w:rPr>
          <w:rFonts w:ascii="Arial" w:hAnsi="Arial" w:cs="Arial"/>
          <w:b/>
          <w:color w:val="000000"/>
        </w:rPr>
        <w:t>Purpose</w:t>
      </w:r>
    </w:p>
    <w:p w14:paraId="3093EDAC" w14:textId="77777777" w:rsidR="00284C35" w:rsidRPr="00D50BB6" w:rsidRDefault="00284C35" w:rsidP="00284C35">
      <w:pPr>
        <w:numPr>
          <w:ilvl w:val="0"/>
          <w:numId w:val="7"/>
        </w:numPr>
        <w:rPr>
          <w:rFonts w:ascii="Arial" w:hAnsi="Arial" w:cs="Arial"/>
        </w:rPr>
      </w:pPr>
      <w:r w:rsidRPr="00D50BB6">
        <w:rPr>
          <w:rFonts w:ascii="Arial" w:hAnsi="Arial" w:cs="Arial"/>
        </w:rPr>
        <w:t>To promote the safe and appropriate prescribing of tramadol in secondary care in NHS Wales.</w:t>
      </w:r>
    </w:p>
    <w:p w14:paraId="3611A6E4" w14:textId="77777777" w:rsidR="00284C35" w:rsidRPr="00D50BB6" w:rsidRDefault="00284C35" w:rsidP="00284C35">
      <w:pPr>
        <w:numPr>
          <w:ilvl w:val="0"/>
          <w:numId w:val="7"/>
        </w:numPr>
        <w:rPr>
          <w:rFonts w:ascii="Arial" w:hAnsi="Arial" w:cs="Arial"/>
        </w:rPr>
      </w:pPr>
      <w:r w:rsidRPr="00D50BB6">
        <w:rPr>
          <w:rFonts w:ascii="Arial" w:hAnsi="Arial" w:cs="Arial"/>
        </w:rPr>
        <w:t>To aid the appropriate prescribing of tramadol for patients discharged from a secondary care setting.</w:t>
      </w:r>
    </w:p>
    <w:p w14:paraId="5E3C56A3" w14:textId="77777777" w:rsidR="00284C35" w:rsidRPr="00D50BB6" w:rsidRDefault="00284C35" w:rsidP="00284C35">
      <w:pPr>
        <w:numPr>
          <w:ilvl w:val="0"/>
          <w:numId w:val="7"/>
        </w:numPr>
        <w:rPr>
          <w:rFonts w:ascii="Arial" w:hAnsi="Arial" w:cs="Arial"/>
        </w:rPr>
      </w:pPr>
      <w:r w:rsidRPr="00D50BB6">
        <w:rPr>
          <w:rFonts w:ascii="Arial" w:hAnsi="Arial" w:cs="Arial"/>
        </w:rPr>
        <w:t>To prevent patients being prescribed tramadol long term as a result of being discharged from secondary care with tramadol for acute pain.</w:t>
      </w:r>
    </w:p>
    <w:p w14:paraId="4BD494F0" w14:textId="77777777" w:rsidR="00284C35" w:rsidRPr="00D50BB6" w:rsidRDefault="00284C35" w:rsidP="00284C35">
      <w:pPr>
        <w:rPr>
          <w:rFonts w:ascii="Arial" w:hAnsi="Arial" w:cs="Arial"/>
          <w:b/>
        </w:rPr>
      </w:pPr>
    </w:p>
    <w:p w14:paraId="3562A057" w14:textId="77777777" w:rsidR="00284C35" w:rsidRPr="00D50BB6" w:rsidRDefault="00284C35" w:rsidP="00D50BB6">
      <w:pPr>
        <w:spacing w:after="60"/>
        <w:rPr>
          <w:rFonts w:ascii="Arial" w:hAnsi="Arial" w:cs="Arial"/>
          <w:b/>
        </w:rPr>
      </w:pPr>
      <w:r w:rsidRPr="00D50BB6">
        <w:rPr>
          <w:rFonts w:ascii="Arial" w:hAnsi="Arial" w:cs="Arial"/>
          <w:b/>
        </w:rPr>
        <w:t>Objectives</w:t>
      </w:r>
    </w:p>
    <w:p w14:paraId="23AE0BB0" w14:textId="77777777" w:rsidR="00284C35" w:rsidRPr="00D50BB6" w:rsidRDefault="00284C35" w:rsidP="00284C35">
      <w:pPr>
        <w:numPr>
          <w:ilvl w:val="0"/>
          <w:numId w:val="8"/>
        </w:numPr>
        <w:rPr>
          <w:rFonts w:ascii="Arial" w:hAnsi="Arial" w:cs="Arial"/>
        </w:rPr>
      </w:pPr>
      <w:r w:rsidRPr="00D50BB6">
        <w:rPr>
          <w:rFonts w:ascii="Arial" w:hAnsi="Arial" w:cs="Arial"/>
        </w:rPr>
        <w:t>To assess the appropriateness of tramadol prescribing for acute pain in secondary care.</w:t>
      </w:r>
    </w:p>
    <w:p w14:paraId="67032FDC" w14:textId="77777777" w:rsidR="00284C35" w:rsidRPr="00D50BB6" w:rsidRDefault="00284C35" w:rsidP="00284C35">
      <w:pPr>
        <w:numPr>
          <w:ilvl w:val="0"/>
          <w:numId w:val="8"/>
        </w:numPr>
        <w:rPr>
          <w:rFonts w:ascii="Arial" w:hAnsi="Arial" w:cs="Arial"/>
        </w:rPr>
      </w:pPr>
      <w:r w:rsidRPr="00D50BB6">
        <w:rPr>
          <w:rFonts w:ascii="Arial" w:hAnsi="Arial" w:cs="Arial"/>
        </w:rPr>
        <w:t>To assess whether tramadol is being co-prescribed with other opioids in secondary care.</w:t>
      </w:r>
    </w:p>
    <w:p w14:paraId="004FEB5C" w14:textId="77777777" w:rsidR="00284C35" w:rsidRPr="00D50BB6" w:rsidRDefault="00284C35" w:rsidP="00284C35">
      <w:pPr>
        <w:numPr>
          <w:ilvl w:val="0"/>
          <w:numId w:val="8"/>
        </w:numPr>
        <w:rPr>
          <w:rFonts w:ascii="Arial" w:hAnsi="Arial" w:cs="Arial"/>
        </w:rPr>
      </w:pPr>
      <w:r w:rsidRPr="00D50BB6">
        <w:rPr>
          <w:rFonts w:ascii="Arial" w:hAnsi="Arial" w:cs="Arial"/>
        </w:rPr>
        <w:t>To determine the appropriateness of tramadol prescribing on discharge prescriptions in secondary care.</w:t>
      </w:r>
    </w:p>
    <w:p w14:paraId="1504D322" w14:textId="77777777" w:rsidR="00284C35" w:rsidRPr="00D50BB6" w:rsidRDefault="00284C35" w:rsidP="00284C35">
      <w:pPr>
        <w:numPr>
          <w:ilvl w:val="0"/>
          <w:numId w:val="8"/>
        </w:numPr>
        <w:rPr>
          <w:rFonts w:ascii="Arial" w:hAnsi="Arial" w:cs="Arial"/>
        </w:rPr>
      </w:pPr>
      <w:r w:rsidRPr="00D50BB6">
        <w:rPr>
          <w:rFonts w:ascii="Arial" w:hAnsi="Arial" w:cs="Arial"/>
        </w:rPr>
        <w:t>To assess whether tramadol is being prescribed with a clear discontinuation or review date on discharge prescriptions.</w:t>
      </w:r>
    </w:p>
    <w:p w14:paraId="7524875B" w14:textId="77777777" w:rsidR="00284C35" w:rsidRPr="00D50BB6" w:rsidRDefault="00284C35" w:rsidP="00284C35">
      <w:pPr>
        <w:numPr>
          <w:ilvl w:val="0"/>
          <w:numId w:val="8"/>
        </w:numPr>
        <w:rPr>
          <w:rFonts w:ascii="Arial" w:hAnsi="Arial" w:cs="Arial"/>
        </w:rPr>
      </w:pPr>
      <w:r w:rsidRPr="00D50BB6">
        <w:rPr>
          <w:rFonts w:ascii="Arial" w:hAnsi="Arial" w:cs="Arial"/>
        </w:rPr>
        <w:t>To quantify the amount of tramadol dispensed on discharge prescriptions.</w:t>
      </w:r>
    </w:p>
    <w:p w14:paraId="1569AB9F" w14:textId="7E30C019" w:rsidR="00284C35" w:rsidRDefault="00284C35" w:rsidP="00284C35">
      <w:pPr>
        <w:rPr>
          <w:rFonts w:ascii="Arial" w:hAnsi="Arial" w:cs="Arial"/>
          <w:b/>
        </w:rPr>
      </w:pPr>
    </w:p>
    <w:p w14:paraId="2F468B6D" w14:textId="77777777" w:rsidR="00D50BB6" w:rsidRPr="00D50BB6" w:rsidRDefault="00D50BB6" w:rsidP="00284C35">
      <w:pPr>
        <w:rPr>
          <w:rFonts w:ascii="Arial" w:hAnsi="Arial" w:cs="Arial"/>
          <w:b/>
        </w:rPr>
      </w:pPr>
    </w:p>
    <w:p w14:paraId="11E9BEAB" w14:textId="77777777" w:rsidR="00284C35" w:rsidRPr="00D50BB6" w:rsidRDefault="00284C35" w:rsidP="00D50BB6">
      <w:pPr>
        <w:spacing w:after="60"/>
        <w:rPr>
          <w:rFonts w:ascii="Arial" w:hAnsi="Arial" w:cs="Arial"/>
          <w:b/>
        </w:rPr>
      </w:pPr>
      <w:r w:rsidRPr="00D50BB6">
        <w:rPr>
          <w:rFonts w:ascii="Arial" w:hAnsi="Arial" w:cs="Arial"/>
          <w:b/>
        </w:rPr>
        <w:t>Good practice points</w:t>
      </w:r>
    </w:p>
    <w:p w14:paraId="4F4459AC"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Refer to local pain guidelines where appropriate.</w:t>
      </w:r>
    </w:p>
    <w:p w14:paraId="0C30F421"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Treatment should be short and intermittent.</w:t>
      </w:r>
    </w:p>
    <w:p w14:paraId="4D1244E5"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Use only for moderate and severe pain.</w:t>
      </w:r>
    </w:p>
    <w:p w14:paraId="50E9D3CA"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Tramadol should only be prescribed if first-line opioids (e.g. codeine, co</w:t>
      </w:r>
      <w:r w:rsidRPr="00D50BB6">
        <w:rPr>
          <w:rFonts w:ascii="Arial" w:hAnsi="Arial" w:cs="Arial"/>
        </w:rPr>
        <w:noBreakHyphen/>
        <w:t>codamol) are not appropriate or tolerated.</w:t>
      </w:r>
    </w:p>
    <w:p w14:paraId="356EDAFA"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Tramadol should not be co-prescribed with other regular opioids.</w:t>
      </w:r>
    </w:p>
    <w:p w14:paraId="78D3868D"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Patients should also be prescribed regular paracetamol and/or NSAID if appropriate.</w:t>
      </w:r>
    </w:p>
    <w:p w14:paraId="65DDD857"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 xml:space="preserve">Before starting treatment with tramadol, agree with the patient a treatment strategy and plan for end of treatment. Counsel patients on the nature of an acute prescription from a hospital discharge. </w:t>
      </w:r>
    </w:p>
    <w:p w14:paraId="0AC16B08"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Consult the latest advice and warnings for opioids during pregnancy in the product information and in clinical resources.</w:t>
      </w:r>
    </w:p>
    <w:p w14:paraId="3933DB30"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Discuss with patients that prolonged use of opioids, such as tramadol, may lead to drug dependence and addiction, even at therapeutic doses.</w:t>
      </w:r>
    </w:p>
    <w:p w14:paraId="156C8CA4"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 xml:space="preserve">Explain the risks of tolerance and potentially fatal unintentional overdose, and counsel patients and caregivers on signs and symptoms of opioid overdose to be aware of (see MHRA </w:t>
      </w:r>
      <w:hyperlink r:id="rId8" w:history="1">
        <w:r w:rsidRPr="00D50BB6">
          <w:rPr>
            <w:rFonts w:ascii="Arial" w:eastAsia="Calibri" w:hAnsi="Arial" w:cs="Arial"/>
            <w:color w:val="0000FF"/>
            <w:u w:val="single"/>
          </w:rPr>
          <w:t>opioids safety information leafle</w:t>
        </w:r>
        <w:r w:rsidRPr="00D50BB6">
          <w:rPr>
            <w:rFonts w:ascii="Arial" w:hAnsi="Arial" w:cs="Arial"/>
            <w:color w:val="0000FF"/>
            <w:u w:val="single"/>
          </w:rPr>
          <w:t>t</w:t>
        </w:r>
      </w:hyperlink>
      <w:r w:rsidRPr="00D50BB6">
        <w:rPr>
          <w:rFonts w:ascii="Arial" w:hAnsi="Arial" w:cs="Arial"/>
        </w:rPr>
        <w:t xml:space="preserve">). </w:t>
      </w:r>
    </w:p>
    <w:p w14:paraId="005C3F02" w14:textId="77777777" w:rsidR="00284C35" w:rsidRPr="00D50BB6" w:rsidRDefault="00284C35" w:rsidP="00D50BB6">
      <w:pPr>
        <w:numPr>
          <w:ilvl w:val="0"/>
          <w:numId w:val="2"/>
        </w:numPr>
        <w:spacing w:after="240"/>
        <w:ind w:left="714" w:hanging="357"/>
        <w:rPr>
          <w:rFonts w:ascii="Arial" w:hAnsi="Arial" w:cs="Arial"/>
        </w:rPr>
      </w:pPr>
      <w:r w:rsidRPr="00D50BB6">
        <w:rPr>
          <w:rFonts w:ascii="Arial" w:hAnsi="Arial" w:cs="Arial"/>
        </w:rPr>
        <w:t>Patients discharged on tramadol should only be given a short supply, and a discontinuation or review date should be clearly indicated on the discharge prescription to ensure that they are not continued on treatment in primary care for longer than is necessary. Communication with community pharmacists via discharge medication reviews could identify patients discharged on tramadol from secondary care and facilitate review and patient counselling on tramadol treatment where appropriate.</w:t>
      </w:r>
    </w:p>
    <w:p w14:paraId="6DE9D184" w14:textId="77777777"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lastRenderedPageBreak/>
        <w:t>Use with caution in:</w:t>
      </w:r>
    </w:p>
    <w:p w14:paraId="3E17B216" w14:textId="77777777" w:rsidR="00284C35" w:rsidRPr="00D50BB6" w:rsidRDefault="00284C35" w:rsidP="00284C35">
      <w:pPr>
        <w:numPr>
          <w:ilvl w:val="1"/>
          <w:numId w:val="11"/>
        </w:numPr>
        <w:tabs>
          <w:tab w:val="left" w:pos="2520"/>
          <w:tab w:val="left" w:pos="3600"/>
          <w:tab w:val="left" w:pos="4680"/>
          <w:tab w:val="left" w:pos="5760"/>
          <w:tab w:val="left" w:pos="6840"/>
        </w:tabs>
        <w:rPr>
          <w:rFonts w:ascii="Arial" w:hAnsi="Arial" w:cs="Arial"/>
        </w:rPr>
      </w:pPr>
      <w:r w:rsidRPr="00D50BB6">
        <w:rPr>
          <w:rFonts w:ascii="Arial" w:hAnsi="Arial" w:cs="Arial"/>
        </w:rPr>
        <w:t>patients with a history of substance misuse</w:t>
      </w:r>
    </w:p>
    <w:p w14:paraId="2E17C4E5" w14:textId="77777777" w:rsidR="00284C35" w:rsidRPr="00D50BB6" w:rsidRDefault="00284C35" w:rsidP="00284C35">
      <w:pPr>
        <w:numPr>
          <w:ilvl w:val="1"/>
          <w:numId w:val="11"/>
        </w:numPr>
        <w:tabs>
          <w:tab w:val="left" w:pos="2520"/>
          <w:tab w:val="left" w:pos="3600"/>
          <w:tab w:val="left" w:pos="4680"/>
          <w:tab w:val="left" w:pos="5760"/>
          <w:tab w:val="left" w:pos="6840"/>
        </w:tabs>
        <w:rPr>
          <w:rFonts w:ascii="Arial" w:hAnsi="Arial" w:cs="Arial"/>
        </w:rPr>
      </w:pPr>
      <w:r w:rsidRPr="00D50BB6">
        <w:rPr>
          <w:rFonts w:ascii="Arial" w:hAnsi="Arial" w:cs="Arial"/>
        </w:rPr>
        <w:t>patients with a history of epilepsy or those susceptible to seizures; tramadol should only be prescribed in these patients if there are compelling reasons to do so</w:t>
      </w:r>
    </w:p>
    <w:p w14:paraId="60E942EE" w14:textId="77777777" w:rsidR="00284C35" w:rsidRPr="00D50BB6" w:rsidRDefault="00284C35" w:rsidP="00284C35">
      <w:pPr>
        <w:numPr>
          <w:ilvl w:val="1"/>
          <w:numId w:val="11"/>
        </w:numPr>
        <w:tabs>
          <w:tab w:val="left" w:pos="2520"/>
          <w:tab w:val="left" w:pos="3600"/>
          <w:tab w:val="left" w:pos="4680"/>
          <w:tab w:val="left" w:pos="5760"/>
          <w:tab w:val="left" w:pos="6840"/>
        </w:tabs>
        <w:rPr>
          <w:rFonts w:ascii="Arial" w:hAnsi="Arial" w:cs="Arial"/>
        </w:rPr>
      </w:pPr>
      <w:r w:rsidRPr="00D50BB6">
        <w:rPr>
          <w:rFonts w:ascii="Arial" w:hAnsi="Arial" w:cs="Arial"/>
        </w:rPr>
        <w:t>patients taking medication that can lower the seizure threshold or cause CNS toxicity (particularly SSRIs and TCAs)</w:t>
      </w:r>
    </w:p>
    <w:p w14:paraId="6FB99813" w14:textId="77777777" w:rsidR="00284C35" w:rsidRPr="00D50BB6" w:rsidRDefault="00284C35" w:rsidP="00284C35">
      <w:pPr>
        <w:numPr>
          <w:ilvl w:val="1"/>
          <w:numId w:val="11"/>
        </w:numPr>
        <w:tabs>
          <w:tab w:val="left" w:pos="2520"/>
          <w:tab w:val="left" w:pos="3600"/>
          <w:tab w:val="left" w:pos="4680"/>
          <w:tab w:val="left" w:pos="5760"/>
          <w:tab w:val="left" w:pos="6840"/>
        </w:tabs>
        <w:rPr>
          <w:rFonts w:ascii="Arial" w:hAnsi="Arial" w:cs="Arial"/>
        </w:rPr>
      </w:pPr>
      <w:r w:rsidRPr="00D50BB6">
        <w:rPr>
          <w:rFonts w:ascii="Arial" w:hAnsi="Arial" w:cs="Arial"/>
        </w:rPr>
        <w:t>patients taking other interacting medicines</w:t>
      </w:r>
    </w:p>
    <w:p w14:paraId="3E0BF528" w14:textId="77777777" w:rsidR="00284C35" w:rsidRPr="00D50BB6" w:rsidRDefault="00284C35" w:rsidP="00284C35">
      <w:pPr>
        <w:numPr>
          <w:ilvl w:val="1"/>
          <w:numId w:val="11"/>
        </w:numPr>
        <w:tabs>
          <w:tab w:val="left" w:pos="2520"/>
          <w:tab w:val="left" w:pos="3600"/>
          <w:tab w:val="left" w:pos="4680"/>
          <w:tab w:val="left" w:pos="5760"/>
          <w:tab w:val="left" w:pos="6840"/>
        </w:tabs>
        <w:rPr>
          <w:rFonts w:ascii="Arial" w:hAnsi="Arial" w:cs="Arial"/>
        </w:rPr>
      </w:pPr>
      <w:r w:rsidRPr="00D50BB6">
        <w:rPr>
          <w:rFonts w:ascii="Arial" w:hAnsi="Arial" w:cs="Arial"/>
        </w:rPr>
        <w:t>patients with renal impairment</w:t>
      </w:r>
    </w:p>
    <w:p w14:paraId="6BC8DADE" w14:textId="77777777" w:rsidR="00284C35" w:rsidRPr="00D50BB6" w:rsidRDefault="00284C35" w:rsidP="00284C35">
      <w:pPr>
        <w:numPr>
          <w:ilvl w:val="1"/>
          <w:numId w:val="11"/>
        </w:numPr>
        <w:rPr>
          <w:rFonts w:ascii="Arial" w:hAnsi="Arial" w:cs="Arial"/>
        </w:rPr>
      </w:pPr>
      <w:r w:rsidRPr="00D50BB6">
        <w:rPr>
          <w:rFonts w:ascii="Arial" w:hAnsi="Arial" w:cs="Arial"/>
        </w:rPr>
        <w:t>patients taking benzodiazepines and opioids; when used together, these have additive effects on the central nervous system, increasing the risk of sedation, respiratory depression, coma, and death. Only prescribe benzodiazepines (or benzodiazepine-like drugs) and opioids together if there is no alternative.</w:t>
      </w:r>
    </w:p>
    <w:p w14:paraId="1381609A" w14:textId="1F0D28FF" w:rsidR="00284C35" w:rsidRPr="00D50BB6" w:rsidRDefault="00284C35" w:rsidP="00284C35">
      <w:pPr>
        <w:numPr>
          <w:ilvl w:val="0"/>
          <w:numId w:val="2"/>
        </w:num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 xml:space="preserve">Any medically significant adverse drug reactions that may be associated with tramadol should be reported through the Yellow Card Scheme. Yellow </w:t>
      </w:r>
      <w:r w:rsidR="00DE3EF7" w:rsidRPr="00D50BB6">
        <w:rPr>
          <w:rFonts w:ascii="Arial" w:hAnsi="Arial" w:cs="Arial"/>
        </w:rPr>
        <w:t>C</w:t>
      </w:r>
      <w:r w:rsidRPr="00D50BB6">
        <w:rPr>
          <w:rFonts w:ascii="Arial" w:hAnsi="Arial" w:cs="Arial"/>
        </w:rPr>
        <w:t xml:space="preserve">ards can be found at the back of the British National Formulary (BNF) or on-line at </w:t>
      </w:r>
      <w:hyperlink r:id="rId9" w:history="1">
        <w:r w:rsidRPr="00D50BB6">
          <w:rPr>
            <w:rFonts w:ascii="Arial" w:eastAsia="Calibri" w:hAnsi="Arial" w:cs="Arial"/>
            <w:color w:val="0000FF"/>
            <w:u w:val="single"/>
          </w:rPr>
          <w:t>www.mhra.gov.uk</w:t>
        </w:r>
      </w:hyperlink>
      <w:r w:rsidRPr="00D50BB6">
        <w:rPr>
          <w:rFonts w:ascii="Arial" w:hAnsi="Arial" w:cs="Arial"/>
        </w:rPr>
        <w:t>.</w:t>
      </w:r>
    </w:p>
    <w:p w14:paraId="6563A16D" w14:textId="77777777" w:rsidR="00284C35" w:rsidRPr="00A86AC2" w:rsidRDefault="00284C35" w:rsidP="00284C35">
      <w:pPr>
        <w:tabs>
          <w:tab w:val="left" w:pos="1440"/>
          <w:tab w:val="left" w:pos="2520"/>
          <w:tab w:val="left" w:pos="3600"/>
          <w:tab w:val="left" w:pos="4680"/>
          <w:tab w:val="left" w:pos="5760"/>
          <w:tab w:val="left" w:pos="6840"/>
        </w:tabs>
        <w:ind w:left="720"/>
        <w:rPr>
          <w:rFonts w:ascii="Arial" w:hAnsi="Arial" w:cs="Arial"/>
          <w:sz w:val="22"/>
          <w:szCs w:val="22"/>
        </w:rPr>
      </w:pPr>
    </w:p>
    <w:p w14:paraId="3A34B641" w14:textId="31F326A6" w:rsidR="00284C35" w:rsidRPr="00A86AC2" w:rsidRDefault="00284C35" w:rsidP="002D4495">
      <w:pPr>
        <w:pStyle w:val="Heading2"/>
      </w:pPr>
      <w:r w:rsidRPr="00A86AC2">
        <w:br w:type="page"/>
      </w:r>
      <w:bookmarkStart w:id="2" w:name="_Toc85709510"/>
      <w:r w:rsidR="00D50BB6" w:rsidRPr="00A86AC2">
        <w:lastRenderedPageBreak/>
        <w:t>Notes on safety</w:t>
      </w:r>
      <w:bookmarkEnd w:id="2"/>
    </w:p>
    <w:p w14:paraId="1340A56C" w14:textId="77777777" w:rsidR="00284C35" w:rsidRPr="00A86AC2" w:rsidRDefault="00284C35" w:rsidP="00284C35">
      <w:pPr>
        <w:tabs>
          <w:tab w:val="left" w:pos="1440"/>
          <w:tab w:val="left" w:pos="2520"/>
          <w:tab w:val="left" w:pos="3600"/>
          <w:tab w:val="left" w:pos="4680"/>
          <w:tab w:val="left" w:pos="5760"/>
          <w:tab w:val="left" w:pos="6840"/>
        </w:tabs>
        <w:rPr>
          <w:rFonts w:ascii="Arial" w:hAnsi="Arial" w:cs="Arial"/>
          <w:b/>
          <w:sz w:val="22"/>
          <w:szCs w:val="22"/>
        </w:rPr>
      </w:pPr>
    </w:p>
    <w:p w14:paraId="3216D07D" w14:textId="5DDF95E9" w:rsidR="00284C35" w:rsidRPr="00D50BB6" w:rsidRDefault="00284C35" w:rsidP="00A42107">
      <w:pPr>
        <w:tabs>
          <w:tab w:val="left" w:pos="1440"/>
          <w:tab w:val="left" w:pos="2520"/>
          <w:tab w:val="left" w:pos="3600"/>
          <w:tab w:val="left" w:pos="4680"/>
          <w:tab w:val="left" w:pos="5760"/>
          <w:tab w:val="left" w:pos="6840"/>
        </w:tabs>
        <w:rPr>
          <w:rFonts w:ascii="Arial" w:hAnsi="Arial" w:cs="Arial"/>
          <w:b/>
        </w:rPr>
      </w:pPr>
      <w:r w:rsidRPr="00D50BB6">
        <w:rPr>
          <w:rFonts w:ascii="Arial" w:hAnsi="Arial" w:cs="Arial"/>
          <w:b/>
        </w:rPr>
        <w:t>Dosing in renal impairment</w:t>
      </w:r>
    </w:p>
    <w:p w14:paraId="3049245A" w14:textId="77777777" w:rsidR="00284C35" w:rsidRPr="00D50BB6" w:rsidRDefault="00284C35" w:rsidP="00284C35">
      <w:pPr>
        <w:tabs>
          <w:tab w:val="left" w:pos="1440"/>
          <w:tab w:val="left" w:pos="2520"/>
          <w:tab w:val="left" w:pos="3600"/>
          <w:tab w:val="left" w:pos="4680"/>
          <w:tab w:val="left" w:pos="5760"/>
          <w:tab w:val="left" w:pos="6840"/>
        </w:tabs>
        <w:rPr>
          <w:rFonts w:ascii="Arial" w:hAnsi="Arial" w:cs="Arial"/>
        </w:rPr>
      </w:pPr>
      <w:r w:rsidRPr="00D50BB6">
        <w:rPr>
          <w:rFonts w:ascii="Arial" w:hAnsi="Arial" w:cs="Arial"/>
        </w:rPr>
        <w:t>Tramadol and its metabolites are almost completely excreted through the kidneys. For elderly patients and patients with renal impairment, the half-life is extended and there is reduced elimination. If a patient has renal impairment, the dose should be adjusted according to the patient’s glomerular filtration rate (GFR):</w:t>
      </w:r>
    </w:p>
    <w:p w14:paraId="01045B7A" w14:textId="77777777" w:rsidR="00284C35" w:rsidRPr="00D50BB6" w:rsidRDefault="00284C35" w:rsidP="00284C35">
      <w:pPr>
        <w:numPr>
          <w:ilvl w:val="0"/>
          <w:numId w:val="29"/>
        </w:numPr>
        <w:tabs>
          <w:tab w:val="left" w:pos="1440"/>
          <w:tab w:val="left" w:pos="2520"/>
          <w:tab w:val="left" w:pos="3600"/>
          <w:tab w:val="left" w:pos="4680"/>
          <w:tab w:val="left" w:pos="5760"/>
          <w:tab w:val="left" w:pos="6840"/>
        </w:tabs>
        <w:contextualSpacing/>
        <w:rPr>
          <w:rFonts w:ascii="Arial" w:hAnsi="Arial" w:cs="Arial"/>
        </w:rPr>
      </w:pPr>
      <w:r w:rsidRPr="00D50BB6">
        <w:rPr>
          <w:rFonts w:ascii="Arial" w:hAnsi="Arial" w:cs="Arial"/>
        </w:rPr>
        <w:t>20–50 ml/min: dose as in normal renal function</w:t>
      </w:r>
    </w:p>
    <w:p w14:paraId="1F361570" w14:textId="77777777" w:rsidR="00284C35" w:rsidRPr="00D50BB6" w:rsidRDefault="00284C35" w:rsidP="00284C35">
      <w:pPr>
        <w:numPr>
          <w:ilvl w:val="0"/>
          <w:numId w:val="29"/>
        </w:numPr>
        <w:tabs>
          <w:tab w:val="left" w:pos="1440"/>
          <w:tab w:val="left" w:pos="2520"/>
          <w:tab w:val="left" w:pos="3600"/>
          <w:tab w:val="left" w:pos="4680"/>
          <w:tab w:val="left" w:pos="5760"/>
          <w:tab w:val="left" w:pos="6840"/>
        </w:tabs>
        <w:contextualSpacing/>
        <w:rPr>
          <w:rFonts w:ascii="Arial" w:hAnsi="Arial" w:cs="Arial"/>
        </w:rPr>
      </w:pPr>
      <w:r w:rsidRPr="00D50BB6">
        <w:rPr>
          <w:rFonts w:ascii="Arial" w:hAnsi="Arial" w:cs="Arial"/>
        </w:rPr>
        <w:t>10–20 ml/min: 50–100 mg every 8 hours initially, then titrate dose as tolerated</w:t>
      </w:r>
    </w:p>
    <w:p w14:paraId="78E1336A" w14:textId="23DCD66F" w:rsidR="00284C35" w:rsidRPr="00D50BB6" w:rsidRDefault="00284C35" w:rsidP="00284C35">
      <w:pPr>
        <w:numPr>
          <w:ilvl w:val="0"/>
          <w:numId w:val="29"/>
        </w:numPr>
        <w:tabs>
          <w:tab w:val="left" w:pos="1440"/>
          <w:tab w:val="left" w:pos="2520"/>
          <w:tab w:val="left" w:pos="3600"/>
          <w:tab w:val="left" w:pos="4680"/>
          <w:tab w:val="left" w:pos="5760"/>
          <w:tab w:val="left" w:pos="6840"/>
        </w:tabs>
        <w:contextualSpacing/>
        <w:rPr>
          <w:rFonts w:ascii="Arial" w:hAnsi="Arial" w:cs="Arial"/>
        </w:rPr>
      </w:pPr>
      <w:r w:rsidRPr="00D50BB6">
        <w:rPr>
          <w:rFonts w:ascii="Arial" w:hAnsi="Arial" w:cs="Arial"/>
        </w:rPr>
        <w:t>&lt;</w:t>
      </w:r>
      <w:r w:rsidR="00CE2B20" w:rsidRPr="00D50BB6">
        <w:rPr>
          <w:rFonts w:ascii="Arial" w:hAnsi="Arial" w:cs="Arial"/>
        </w:rPr>
        <w:t> </w:t>
      </w:r>
      <w:r w:rsidRPr="00D50BB6">
        <w:rPr>
          <w:rFonts w:ascii="Arial" w:hAnsi="Arial" w:cs="Arial"/>
        </w:rPr>
        <w:t>10 ml/min: 50 mg every 8 hours initially, then titrate dose as tolerated.</w:t>
      </w:r>
    </w:p>
    <w:p w14:paraId="727E6B05" w14:textId="77777777" w:rsidR="00284C35" w:rsidRPr="00A42107" w:rsidRDefault="00284C35" w:rsidP="00284C35">
      <w:pPr>
        <w:rPr>
          <w:rFonts w:ascii="Arial" w:hAnsi="Arial" w:cs="Arial"/>
          <w:sz w:val="12"/>
          <w:szCs w:val="12"/>
        </w:rPr>
      </w:pPr>
    </w:p>
    <w:p w14:paraId="76DC8AA3" w14:textId="77777777" w:rsidR="00284C35" w:rsidRPr="00D50BB6" w:rsidRDefault="00284C35" w:rsidP="00284C35">
      <w:r w:rsidRPr="00D50BB6">
        <w:rPr>
          <w:rFonts w:ascii="Arial" w:hAnsi="Arial" w:cs="Arial"/>
        </w:rPr>
        <w:t xml:space="preserve">The information above on dosage adjustments in renal impairment is taken from the Renal Drug Handbook 3rd edition (2008) which bases its dosage adjustments on creatinine clearance and not estimated GFR (eGFR). It should be noted that there are differences between absolute GFR, eGFR, and creatinine clearance (CrCl). For more detailed advice on clinical importance and management, see BNF, Renal Drug Handbook and Summary of Product Characteristics, or refer to local Medicines Information Service. </w:t>
      </w:r>
    </w:p>
    <w:p w14:paraId="05BF77BE" w14:textId="77777777" w:rsidR="00284C35" w:rsidRPr="00D50BB6" w:rsidRDefault="00284C35" w:rsidP="00284C35">
      <w:pPr>
        <w:rPr>
          <w:rFonts w:ascii="Arial" w:hAnsi="Arial" w:cs="Arial"/>
        </w:rPr>
      </w:pPr>
    </w:p>
    <w:p w14:paraId="1D61767D" w14:textId="77777777" w:rsidR="00284C35" w:rsidRPr="00D50BB6" w:rsidRDefault="00284C35" w:rsidP="00284C35">
      <w:pPr>
        <w:rPr>
          <w:rFonts w:ascii="Arial" w:hAnsi="Arial" w:cs="Arial"/>
        </w:rPr>
      </w:pPr>
      <w:r w:rsidRPr="00D50BB6">
        <w:rPr>
          <w:rFonts w:ascii="Arial" w:hAnsi="Arial" w:cs="Arial"/>
        </w:rPr>
        <w:t xml:space="preserve">Please note that the information in the Renal Drug Handbook is compiled from a wide range of sources and from the clinical experience of the editorial board of the UK Renal Pharmacy Group, all of whom are involved in the pharmaceutical care of renally impaired patients. As such, some of the information in the Renal Drug Handbook may not be in accordance with the licensed indications or use of the drug. </w:t>
      </w:r>
    </w:p>
    <w:p w14:paraId="3F0B514F" w14:textId="77777777" w:rsidR="00284C35" w:rsidRPr="00D50BB6" w:rsidRDefault="00284C35" w:rsidP="00284C35">
      <w:pPr>
        <w:rPr>
          <w:rFonts w:ascii="Arial" w:hAnsi="Arial" w:cs="Arial"/>
        </w:rPr>
      </w:pPr>
    </w:p>
    <w:p w14:paraId="303B0A82" w14:textId="77777777" w:rsidR="00284C35" w:rsidRPr="00D50BB6" w:rsidRDefault="00284C35" w:rsidP="00A42107">
      <w:pPr>
        <w:pStyle w:val="AWTTCNormal"/>
        <w:rPr>
          <w:b/>
          <w:sz w:val="24"/>
          <w:szCs w:val="24"/>
        </w:rPr>
      </w:pPr>
      <w:bookmarkStart w:id="3" w:name="_Toc78471446"/>
      <w:r w:rsidRPr="00D50BB6">
        <w:rPr>
          <w:b/>
          <w:sz w:val="24"/>
          <w:szCs w:val="24"/>
        </w:rPr>
        <w:t>Advice for tapering and stopping tramadol</w:t>
      </w:r>
      <w:bookmarkEnd w:id="3"/>
    </w:p>
    <w:p w14:paraId="640EE9A7" w14:textId="65870301" w:rsidR="00284C35" w:rsidRPr="00D50BB6" w:rsidRDefault="00284C35" w:rsidP="00284C35">
      <w:pPr>
        <w:rPr>
          <w:rFonts w:ascii="Arial" w:hAnsi="Arial" w:cs="Arial"/>
        </w:rPr>
      </w:pPr>
      <w:r w:rsidRPr="00D50BB6">
        <w:rPr>
          <w:rFonts w:ascii="Arial" w:hAnsi="Arial" w:cs="Arial"/>
        </w:rPr>
        <w:t>To reduce the risk of withdrawal effects associated with sudden cessation of opioids, taper dosage of tramadol slowly at the end of treatment. This can take weeks or months, depending on individual response and the dose taken. Healthcare professionals should advise patients not to stop taking tramadol suddenly, and not to try to self-medicate to overcome withdrawal effects. Self</w:t>
      </w:r>
      <w:r w:rsidR="00D50BB6">
        <w:rPr>
          <w:rFonts w:ascii="Arial" w:hAnsi="Arial" w:cs="Arial"/>
        </w:rPr>
        <w:noBreakHyphen/>
      </w:r>
      <w:r w:rsidRPr="00D50BB6">
        <w:rPr>
          <w:rFonts w:ascii="Arial" w:hAnsi="Arial" w:cs="Arial"/>
        </w:rPr>
        <w:t xml:space="preserve">medication with opioids can result in overdose and potentially death. </w:t>
      </w:r>
      <w:r w:rsidR="004C6A7A" w:rsidRPr="00D50BB6">
        <w:rPr>
          <w:rFonts w:ascii="Arial" w:hAnsi="Arial" w:cs="Arial"/>
        </w:rPr>
        <w:t xml:space="preserve">The MHRA recommended that before prescribing opioids, healthcare professionals should discuss the risk and features of tolerance, dependence and addiction with the patient. A plan for the termination of treatment should be agreed, which might include identifying a strategy to measure treatment success or failure, and a dose reduction strategy. </w:t>
      </w:r>
      <w:r w:rsidRPr="00D50BB6">
        <w:rPr>
          <w:rFonts w:ascii="Arial" w:hAnsi="Arial" w:cs="Arial"/>
        </w:rPr>
        <w:t>Where physical dependence to tramadol develops, the withdrawal syndrome can be severe, with symptoms typical of opiate withdrawal sometimes accompanied by atypical symptoms including seizures, hallucinations and anxiety.</w:t>
      </w:r>
    </w:p>
    <w:p w14:paraId="2B269000" w14:textId="77777777" w:rsidR="00284C35" w:rsidRPr="00D50BB6" w:rsidRDefault="00284C35" w:rsidP="00B50024">
      <w:pPr>
        <w:pStyle w:val="AWTTCNormal"/>
        <w:rPr>
          <w:sz w:val="24"/>
          <w:szCs w:val="24"/>
        </w:rPr>
      </w:pPr>
    </w:p>
    <w:p w14:paraId="1C2442A4" w14:textId="77777777" w:rsidR="00284C35" w:rsidRPr="00D50BB6" w:rsidRDefault="00284C35" w:rsidP="00284C35">
      <w:pPr>
        <w:rPr>
          <w:rFonts w:ascii="Arial" w:hAnsi="Arial" w:cs="Arial"/>
        </w:rPr>
      </w:pPr>
      <w:r w:rsidRPr="00D50BB6">
        <w:rPr>
          <w:rFonts w:ascii="Arial" w:hAnsi="Arial" w:cs="Arial"/>
        </w:rPr>
        <w:t xml:space="preserve">The </w:t>
      </w:r>
      <w:hyperlink r:id="rId10" w:history="1">
        <w:r w:rsidRPr="00D50BB6">
          <w:rPr>
            <w:rFonts w:ascii="Arial" w:hAnsi="Arial" w:cs="Arial"/>
            <w:color w:val="0000FF"/>
            <w:u w:val="single"/>
          </w:rPr>
          <w:t>Faculty of Pain Medicine’s Opioids Aware resource</w:t>
        </w:r>
      </w:hyperlink>
      <w:r w:rsidRPr="00D50BB6">
        <w:rPr>
          <w:rFonts w:ascii="Arial" w:hAnsi="Arial" w:cs="Arial"/>
        </w:rPr>
        <w:t xml:space="preserve"> suggests tapering opioids by 10% weekly or two weekly. It is important to take into consideration that every patient and their circumstances will be different, and a prudent and individually tailored approach is required. </w:t>
      </w:r>
    </w:p>
    <w:p w14:paraId="361D4387" w14:textId="77777777" w:rsidR="00284C35" w:rsidRPr="00D50BB6" w:rsidRDefault="00284C35" w:rsidP="00284C35">
      <w:pPr>
        <w:rPr>
          <w:rFonts w:ascii="Arial" w:hAnsi="Arial" w:cs="Arial"/>
        </w:rPr>
      </w:pPr>
    </w:p>
    <w:p w14:paraId="0AEBA318" w14:textId="77777777" w:rsidR="004C6A7A" w:rsidRPr="00D50BB6" w:rsidRDefault="004C6A7A" w:rsidP="004C6A7A">
      <w:pPr>
        <w:rPr>
          <w:rFonts w:ascii="Arial" w:hAnsi="Arial" w:cs="Arial"/>
        </w:rPr>
      </w:pPr>
      <w:r w:rsidRPr="00D50BB6">
        <w:rPr>
          <w:rFonts w:ascii="Arial" w:hAnsi="Arial" w:cs="Arial"/>
        </w:rPr>
        <w:t>If the patient has chronic (also known as persistent) pain that has failed to respond to treatment, referral to a specialist pain service may be appropriate. If there are issues with dependence on tramadol, referral to a specialist support service where available may be appropriate.</w:t>
      </w:r>
    </w:p>
    <w:p w14:paraId="0C90562D" w14:textId="77777777" w:rsidR="00D50BB6" w:rsidRDefault="00284C35" w:rsidP="00D50BB6">
      <w:pPr>
        <w:rPr>
          <w:rFonts w:ascii="Arial" w:hAnsi="Arial" w:cs="Arial"/>
        </w:rPr>
      </w:pPr>
      <w:r w:rsidRPr="00A86AC2">
        <w:rPr>
          <w:rFonts w:ascii="Arial" w:hAnsi="Arial" w:cs="Arial"/>
          <w:b/>
          <w:sz w:val="22"/>
          <w:szCs w:val="22"/>
        </w:rPr>
        <w:br w:type="page"/>
      </w:r>
      <w:r w:rsidRPr="00D50BB6">
        <w:rPr>
          <w:rFonts w:ascii="Arial" w:hAnsi="Arial" w:cs="Arial"/>
          <w:b/>
        </w:rPr>
        <w:lastRenderedPageBreak/>
        <w:t>Audit criteria</w:t>
      </w:r>
      <w:r w:rsidR="00D50BB6">
        <w:rPr>
          <w:rFonts w:ascii="Arial" w:hAnsi="Arial" w:cs="Arial"/>
        </w:rPr>
        <w:t xml:space="preserve"> </w:t>
      </w:r>
    </w:p>
    <w:p w14:paraId="58441C73" w14:textId="0FF04DBE" w:rsidR="00284C35" w:rsidRDefault="00284C35" w:rsidP="00D50BB6">
      <w:pPr>
        <w:rPr>
          <w:rFonts w:ascii="Arial" w:hAnsi="Arial" w:cs="Arial"/>
          <w:iCs/>
        </w:rPr>
      </w:pPr>
      <w:r w:rsidRPr="00D50BB6">
        <w:rPr>
          <w:rFonts w:ascii="Arial" w:hAnsi="Arial" w:cs="Arial"/>
        </w:rPr>
        <w:t xml:space="preserve">The target is not an absolute value and can be achieved if there is movement towards the </w:t>
      </w:r>
      <w:r w:rsidRPr="00D50BB6">
        <w:rPr>
          <w:rFonts w:ascii="Arial" w:hAnsi="Arial" w:cs="Arial"/>
          <w:iCs/>
        </w:rPr>
        <w:t>suggested audit standard in subsequent runs of the audit.</w:t>
      </w:r>
    </w:p>
    <w:p w14:paraId="480441FE" w14:textId="77777777" w:rsidR="00284C35" w:rsidRPr="00D50BB6" w:rsidRDefault="00284C35" w:rsidP="00284C35">
      <w:pPr>
        <w:spacing w:line="200" w:lineRule="exac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367"/>
      </w:tblGrid>
      <w:tr w:rsidR="00284C35" w:rsidRPr="00D50BB6" w14:paraId="1F3D84B4" w14:textId="77777777" w:rsidTr="00C75866">
        <w:tc>
          <w:tcPr>
            <w:tcW w:w="2429" w:type="pct"/>
            <w:shd w:val="clear" w:color="auto" w:fill="D9D9D9"/>
            <w:tcMar>
              <w:top w:w="28" w:type="dxa"/>
              <w:bottom w:w="28" w:type="dxa"/>
            </w:tcMar>
            <w:vAlign w:val="center"/>
          </w:tcPr>
          <w:p w14:paraId="66647B6C" w14:textId="77777777" w:rsidR="00284C35" w:rsidRPr="00D50BB6" w:rsidDel="00502821" w:rsidRDefault="00284C35" w:rsidP="00284C35">
            <w:pPr>
              <w:rPr>
                <w:rFonts w:ascii="Arial" w:hAnsi="Arial" w:cs="Arial"/>
                <w:b/>
              </w:rPr>
            </w:pPr>
            <w:r w:rsidRPr="00D50BB6">
              <w:rPr>
                <w:rFonts w:ascii="Arial" w:hAnsi="Arial" w:cs="Arial"/>
                <w:b/>
              </w:rPr>
              <w:t>Standard</w:t>
            </w:r>
          </w:p>
        </w:tc>
        <w:tc>
          <w:tcPr>
            <w:tcW w:w="2571" w:type="pct"/>
            <w:shd w:val="clear" w:color="auto" w:fill="D9D9D9"/>
            <w:tcMar>
              <w:top w:w="28" w:type="dxa"/>
              <w:bottom w:w="28" w:type="dxa"/>
            </w:tcMar>
            <w:vAlign w:val="center"/>
          </w:tcPr>
          <w:p w14:paraId="37DFC962" w14:textId="77777777" w:rsidR="00284C35" w:rsidRPr="00D50BB6" w:rsidDel="00502821" w:rsidRDefault="00284C35" w:rsidP="00284C35">
            <w:pPr>
              <w:rPr>
                <w:rFonts w:ascii="Arial" w:hAnsi="Arial" w:cs="Arial"/>
                <w:b/>
              </w:rPr>
            </w:pPr>
            <w:r w:rsidRPr="00D50BB6">
              <w:rPr>
                <w:rFonts w:ascii="Arial" w:hAnsi="Arial" w:cs="Arial"/>
                <w:b/>
              </w:rPr>
              <w:t>Exception</w:t>
            </w:r>
          </w:p>
        </w:tc>
      </w:tr>
      <w:tr w:rsidR="00284C35" w:rsidRPr="00D50BB6" w14:paraId="100B9173" w14:textId="77777777" w:rsidTr="00D50BB6">
        <w:trPr>
          <w:trHeight w:val="858"/>
        </w:trPr>
        <w:tc>
          <w:tcPr>
            <w:tcW w:w="2429" w:type="pct"/>
            <w:tcMar>
              <w:top w:w="28" w:type="dxa"/>
              <w:bottom w:w="28" w:type="dxa"/>
            </w:tcMar>
          </w:tcPr>
          <w:p w14:paraId="1618A78A" w14:textId="77777777" w:rsidR="00284C35" w:rsidRPr="00D50BB6" w:rsidRDefault="00284C35" w:rsidP="00284C35">
            <w:pPr>
              <w:rPr>
                <w:rFonts w:ascii="Arial" w:hAnsi="Arial" w:cs="Arial"/>
                <w:b/>
              </w:rPr>
            </w:pPr>
            <w:r w:rsidRPr="00D50BB6">
              <w:rPr>
                <w:rFonts w:ascii="Arial" w:hAnsi="Arial" w:cs="Arial"/>
              </w:rPr>
              <w:t>1. All patients prescribed tramadol have a clear and appropriate indication for prescribing</w:t>
            </w:r>
          </w:p>
        </w:tc>
        <w:tc>
          <w:tcPr>
            <w:tcW w:w="2571" w:type="pct"/>
            <w:tcMar>
              <w:top w:w="28" w:type="dxa"/>
              <w:bottom w:w="28" w:type="dxa"/>
            </w:tcMar>
          </w:tcPr>
          <w:p w14:paraId="4AE00ACF" w14:textId="77777777" w:rsidR="00284C35" w:rsidRPr="00D50BB6" w:rsidDel="00502821" w:rsidRDefault="00284C35" w:rsidP="00284C35">
            <w:pPr>
              <w:rPr>
                <w:rFonts w:ascii="Arial" w:hAnsi="Arial" w:cs="Arial"/>
              </w:rPr>
            </w:pPr>
            <w:r w:rsidRPr="00D50BB6">
              <w:rPr>
                <w:rFonts w:ascii="Arial" w:hAnsi="Arial" w:cs="Arial"/>
              </w:rPr>
              <w:t>None</w:t>
            </w:r>
          </w:p>
        </w:tc>
      </w:tr>
      <w:tr w:rsidR="00284C35" w:rsidRPr="00D50BB6" w14:paraId="48BD2D33" w14:textId="77777777" w:rsidTr="00C75866">
        <w:tc>
          <w:tcPr>
            <w:tcW w:w="2429" w:type="pct"/>
            <w:tcMar>
              <w:top w:w="28" w:type="dxa"/>
              <w:bottom w:w="28" w:type="dxa"/>
            </w:tcMar>
          </w:tcPr>
          <w:p w14:paraId="26D7B1FC" w14:textId="77777777" w:rsidR="00284C35" w:rsidRPr="00D50BB6" w:rsidRDefault="00284C35" w:rsidP="00284C35">
            <w:pPr>
              <w:rPr>
                <w:rFonts w:ascii="Arial" w:hAnsi="Arial" w:cs="Arial"/>
                <w:b/>
              </w:rPr>
            </w:pPr>
            <w:r w:rsidRPr="00D50BB6">
              <w:rPr>
                <w:rFonts w:ascii="Arial" w:hAnsi="Arial" w:cs="Arial"/>
              </w:rPr>
              <w:t xml:space="preserve">2. No patients are co-prescribed other regular opioids with tramadol </w:t>
            </w:r>
          </w:p>
        </w:tc>
        <w:tc>
          <w:tcPr>
            <w:tcW w:w="2571" w:type="pct"/>
            <w:tcMar>
              <w:top w:w="28" w:type="dxa"/>
              <w:bottom w:w="28" w:type="dxa"/>
            </w:tcMar>
          </w:tcPr>
          <w:p w14:paraId="3BD3D5C8" w14:textId="77777777" w:rsidR="00284C35" w:rsidRPr="00D50BB6" w:rsidRDefault="00284C35" w:rsidP="00284C35">
            <w:pPr>
              <w:rPr>
                <w:rFonts w:ascii="Arial" w:hAnsi="Arial" w:cs="Arial"/>
              </w:rPr>
            </w:pPr>
            <w:r w:rsidRPr="00D50BB6">
              <w:rPr>
                <w:rFonts w:ascii="Arial" w:hAnsi="Arial" w:cs="Arial"/>
              </w:rPr>
              <w:t>None</w:t>
            </w:r>
          </w:p>
        </w:tc>
      </w:tr>
      <w:tr w:rsidR="00284C35" w:rsidRPr="00D50BB6" w14:paraId="62BD240C" w14:textId="77777777" w:rsidTr="00C75866">
        <w:tc>
          <w:tcPr>
            <w:tcW w:w="2429" w:type="pct"/>
            <w:tcMar>
              <w:top w:w="28" w:type="dxa"/>
              <w:bottom w:w="28" w:type="dxa"/>
            </w:tcMar>
          </w:tcPr>
          <w:p w14:paraId="1C7BEBAD" w14:textId="77777777" w:rsidR="00284C35" w:rsidRPr="00D50BB6" w:rsidRDefault="00284C35" w:rsidP="00284C35">
            <w:pPr>
              <w:rPr>
                <w:rFonts w:ascii="Arial" w:hAnsi="Arial" w:cs="Arial"/>
              </w:rPr>
            </w:pPr>
            <w:r w:rsidRPr="00D50BB6">
              <w:rPr>
                <w:rFonts w:ascii="Arial" w:hAnsi="Arial" w:cs="Arial"/>
              </w:rPr>
              <w:t>3. All patients admitted on tramadol have a review during admission to assess if it is appropriate to continue with treatment</w:t>
            </w:r>
          </w:p>
        </w:tc>
        <w:tc>
          <w:tcPr>
            <w:tcW w:w="2571" w:type="pct"/>
            <w:tcMar>
              <w:top w:w="28" w:type="dxa"/>
              <w:bottom w:w="28" w:type="dxa"/>
            </w:tcMar>
          </w:tcPr>
          <w:p w14:paraId="590CFFC6" w14:textId="77777777" w:rsidR="00284C35" w:rsidRPr="00D50BB6" w:rsidRDefault="00284C35" w:rsidP="00284C35">
            <w:pPr>
              <w:rPr>
                <w:rFonts w:ascii="Arial" w:hAnsi="Arial" w:cs="Arial"/>
              </w:rPr>
            </w:pPr>
            <w:r w:rsidRPr="00D50BB6">
              <w:rPr>
                <w:rFonts w:ascii="Arial" w:hAnsi="Arial" w:cs="Arial"/>
              </w:rPr>
              <w:t>None</w:t>
            </w:r>
          </w:p>
        </w:tc>
      </w:tr>
      <w:tr w:rsidR="00284C35" w:rsidRPr="00D50BB6" w14:paraId="125032AD" w14:textId="77777777" w:rsidTr="00C75866">
        <w:tc>
          <w:tcPr>
            <w:tcW w:w="2429" w:type="pct"/>
            <w:tcMar>
              <w:top w:w="28" w:type="dxa"/>
              <w:bottom w:w="28" w:type="dxa"/>
            </w:tcMar>
          </w:tcPr>
          <w:p w14:paraId="0D1CC764" w14:textId="77777777" w:rsidR="00284C35" w:rsidRPr="00D50BB6" w:rsidRDefault="00284C35" w:rsidP="00284C35">
            <w:pPr>
              <w:rPr>
                <w:rFonts w:ascii="Arial" w:hAnsi="Arial" w:cs="Arial"/>
                <w:b/>
              </w:rPr>
            </w:pPr>
            <w:r w:rsidRPr="00D50BB6">
              <w:rPr>
                <w:rFonts w:ascii="Arial" w:hAnsi="Arial" w:cs="Arial"/>
              </w:rPr>
              <w:t>4. All patients are initiated on tramadol only if first-line weak opioids are not suitable</w:t>
            </w:r>
          </w:p>
        </w:tc>
        <w:tc>
          <w:tcPr>
            <w:tcW w:w="2571" w:type="pct"/>
            <w:tcMar>
              <w:top w:w="28" w:type="dxa"/>
              <w:bottom w:w="28" w:type="dxa"/>
            </w:tcMar>
          </w:tcPr>
          <w:p w14:paraId="2419F171" w14:textId="77777777" w:rsidR="00284C35" w:rsidRPr="00D50BB6" w:rsidRDefault="00284C35" w:rsidP="00284C35">
            <w:pPr>
              <w:rPr>
                <w:rFonts w:ascii="Arial" w:hAnsi="Arial" w:cs="Arial"/>
              </w:rPr>
            </w:pPr>
            <w:r w:rsidRPr="00D50BB6">
              <w:rPr>
                <w:rFonts w:ascii="Arial" w:hAnsi="Arial" w:cs="Arial"/>
              </w:rPr>
              <w:t xml:space="preserve">Contraindications to other first-line opioids </w:t>
            </w:r>
          </w:p>
        </w:tc>
      </w:tr>
      <w:tr w:rsidR="00284C35" w:rsidRPr="00D50BB6" w14:paraId="61A9C9C0" w14:textId="77777777" w:rsidTr="00D50BB6">
        <w:trPr>
          <w:trHeight w:val="654"/>
        </w:trPr>
        <w:tc>
          <w:tcPr>
            <w:tcW w:w="2429" w:type="pct"/>
            <w:tcMar>
              <w:top w:w="28" w:type="dxa"/>
              <w:bottom w:w="28" w:type="dxa"/>
            </w:tcMar>
          </w:tcPr>
          <w:p w14:paraId="29B4DA49" w14:textId="77777777" w:rsidR="00284C35" w:rsidRPr="00D50BB6" w:rsidRDefault="00284C35" w:rsidP="00284C35">
            <w:pPr>
              <w:rPr>
                <w:rFonts w:ascii="Arial" w:hAnsi="Arial" w:cs="Arial"/>
                <w:b/>
              </w:rPr>
            </w:pPr>
            <w:r w:rsidRPr="00D50BB6">
              <w:rPr>
                <w:rFonts w:ascii="Arial" w:hAnsi="Arial" w:cs="Arial"/>
              </w:rPr>
              <w:t>5. The daily dose of tramadol does not exceed 400 mg in 24 hours</w:t>
            </w:r>
          </w:p>
        </w:tc>
        <w:tc>
          <w:tcPr>
            <w:tcW w:w="2571" w:type="pct"/>
            <w:tcMar>
              <w:top w:w="28" w:type="dxa"/>
              <w:bottom w:w="28" w:type="dxa"/>
            </w:tcMar>
          </w:tcPr>
          <w:p w14:paraId="1A26E848" w14:textId="77777777" w:rsidR="00284C35" w:rsidRPr="00D50BB6" w:rsidRDefault="00284C35" w:rsidP="00284C35">
            <w:pPr>
              <w:rPr>
                <w:rFonts w:ascii="Arial" w:hAnsi="Arial" w:cs="Arial"/>
              </w:rPr>
            </w:pPr>
            <w:r w:rsidRPr="00D50BB6">
              <w:rPr>
                <w:rFonts w:ascii="Arial" w:hAnsi="Arial" w:cs="Arial"/>
              </w:rPr>
              <w:t>None</w:t>
            </w:r>
          </w:p>
        </w:tc>
      </w:tr>
      <w:tr w:rsidR="00284C35" w:rsidRPr="00D50BB6" w14:paraId="12CFE2EB" w14:textId="77777777" w:rsidTr="00C75866">
        <w:tc>
          <w:tcPr>
            <w:tcW w:w="2429" w:type="pct"/>
            <w:tcMar>
              <w:top w:w="28" w:type="dxa"/>
              <w:bottom w:w="28" w:type="dxa"/>
            </w:tcMar>
          </w:tcPr>
          <w:p w14:paraId="49ADC269" w14:textId="77777777" w:rsidR="00284C35" w:rsidRPr="00D50BB6" w:rsidRDefault="00284C35" w:rsidP="00284C35">
            <w:pPr>
              <w:rPr>
                <w:rFonts w:ascii="Arial" w:hAnsi="Arial" w:cs="Arial"/>
                <w:b/>
              </w:rPr>
            </w:pPr>
            <w:r w:rsidRPr="00D50BB6">
              <w:rPr>
                <w:rFonts w:ascii="Arial" w:hAnsi="Arial" w:cs="Arial"/>
              </w:rPr>
              <w:t>6. Patients are not co-prescribed interacting medicines</w:t>
            </w:r>
          </w:p>
        </w:tc>
        <w:tc>
          <w:tcPr>
            <w:tcW w:w="2571" w:type="pct"/>
            <w:tcMar>
              <w:top w:w="28" w:type="dxa"/>
              <w:bottom w:w="28" w:type="dxa"/>
            </w:tcMar>
          </w:tcPr>
          <w:p w14:paraId="2A08130F" w14:textId="77777777" w:rsidR="00284C35" w:rsidRPr="00D50BB6" w:rsidDel="00502821" w:rsidRDefault="00284C35" w:rsidP="00284C35">
            <w:pPr>
              <w:rPr>
                <w:rFonts w:ascii="Arial" w:hAnsi="Arial" w:cs="Arial"/>
              </w:rPr>
            </w:pPr>
            <w:r w:rsidRPr="00D50BB6">
              <w:rPr>
                <w:rFonts w:ascii="Arial" w:hAnsi="Arial" w:cs="Arial"/>
              </w:rPr>
              <w:t>Unless the clinical benefits outweigh the risks and patients are monitored accordingly</w:t>
            </w:r>
          </w:p>
        </w:tc>
      </w:tr>
      <w:tr w:rsidR="00284C35" w:rsidRPr="00D50BB6" w14:paraId="5C9A3D8F" w14:textId="77777777" w:rsidTr="00C75866">
        <w:tc>
          <w:tcPr>
            <w:tcW w:w="2429" w:type="pct"/>
            <w:tcMar>
              <w:top w:w="28" w:type="dxa"/>
              <w:bottom w:w="28" w:type="dxa"/>
            </w:tcMar>
          </w:tcPr>
          <w:p w14:paraId="4C411B40" w14:textId="77777777" w:rsidR="00284C35" w:rsidRPr="00D50BB6" w:rsidDel="00502821" w:rsidRDefault="00284C35" w:rsidP="00284C35">
            <w:pPr>
              <w:rPr>
                <w:rFonts w:ascii="Arial" w:hAnsi="Arial" w:cs="Arial"/>
              </w:rPr>
            </w:pPr>
            <w:r w:rsidRPr="00D50BB6">
              <w:rPr>
                <w:rFonts w:ascii="Arial" w:hAnsi="Arial" w:cs="Arial"/>
              </w:rPr>
              <w:t>7. Tramadol is not initiated where there is a history of substance misuse</w:t>
            </w:r>
          </w:p>
        </w:tc>
        <w:tc>
          <w:tcPr>
            <w:tcW w:w="2571" w:type="pct"/>
            <w:tcMar>
              <w:top w:w="28" w:type="dxa"/>
              <w:bottom w:w="28" w:type="dxa"/>
            </w:tcMar>
          </w:tcPr>
          <w:p w14:paraId="78BF43D5" w14:textId="77777777" w:rsidR="00284C35" w:rsidRPr="00D50BB6" w:rsidDel="00502821" w:rsidRDefault="00284C35" w:rsidP="00284C35">
            <w:pPr>
              <w:rPr>
                <w:rFonts w:ascii="Arial" w:hAnsi="Arial" w:cs="Arial"/>
              </w:rPr>
            </w:pPr>
            <w:r w:rsidRPr="00D50BB6">
              <w:rPr>
                <w:rFonts w:ascii="Arial" w:hAnsi="Arial" w:cs="Arial"/>
              </w:rPr>
              <w:t>Unless the clinical benefits outweigh the risks and patients are monitored accordingly</w:t>
            </w:r>
          </w:p>
        </w:tc>
      </w:tr>
      <w:tr w:rsidR="00284C35" w:rsidRPr="00D50BB6" w14:paraId="290AF2ED" w14:textId="77777777" w:rsidTr="00C75866">
        <w:tc>
          <w:tcPr>
            <w:tcW w:w="2429" w:type="pct"/>
            <w:tcMar>
              <w:top w:w="28" w:type="dxa"/>
              <w:bottom w:w="28" w:type="dxa"/>
            </w:tcMar>
          </w:tcPr>
          <w:p w14:paraId="24388878" w14:textId="77777777" w:rsidR="00284C35" w:rsidRPr="00D50BB6" w:rsidDel="00502821" w:rsidRDefault="00284C35" w:rsidP="00284C35">
            <w:pPr>
              <w:rPr>
                <w:rFonts w:ascii="Arial" w:hAnsi="Arial" w:cs="Arial"/>
              </w:rPr>
            </w:pPr>
            <w:r w:rsidRPr="00D50BB6">
              <w:rPr>
                <w:rFonts w:ascii="Arial" w:hAnsi="Arial" w:cs="Arial"/>
              </w:rPr>
              <w:t>8. Tramadol is not initiated where there is a history of epilepsy</w:t>
            </w:r>
          </w:p>
        </w:tc>
        <w:tc>
          <w:tcPr>
            <w:tcW w:w="2571" w:type="pct"/>
            <w:tcMar>
              <w:top w:w="28" w:type="dxa"/>
              <w:bottom w:w="28" w:type="dxa"/>
            </w:tcMar>
          </w:tcPr>
          <w:p w14:paraId="27D81E31" w14:textId="77777777" w:rsidR="00284C35" w:rsidRPr="00D50BB6" w:rsidDel="00502821" w:rsidRDefault="00284C35" w:rsidP="00284C35">
            <w:pPr>
              <w:rPr>
                <w:rFonts w:ascii="Arial" w:hAnsi="Arial" w:cs="Arial"/>
              </w:rPr>
            </w:pPr>
            <w:r w:rsidRPr="00D50BB6">
              <w:rPr>
                <w:rFonts w:ascii="Arial" w:hAnsi="Arial" w:cs="Arial"/>
              </w:rPr>
              <w:t>Unless the clinical benefits outweigh the risks and patients are monitored accordingly</w:t>
            </w:r>
          </w:p>
        </w:tc>
      </w:tr>
      <w:tr w:rsidR="00284C35" w:rsidRPr="00D50BB6" w14:paraId="29F74E73" w14:textId="77777777" w:rsidTr="00C75866">
        <w:tc>
          <w:tcPr>
            <w:tcW w:w="2429" w:type="pct"/>
            <w:tcBorders>
              <w:bottom w:val="single" w:sz="4" w:space="0" w:color="auto"/>
            </w:tcBorders>
            <w:tcMar>
              <w:top w:w="28" w:type="dxa"/>
              <w:bottom w:w="28" w:type="dxa"/>
            </w:tcMar>
          </w:tcPr>
          <w:p w14:paraId="24163F9F" w14:textId="77777777" w:rsidR="00284C35" w:rsidRPr="00D50BB6" w:rsidDel="00502821" w:rsidRDefault="00284C35" w:rsidP="00284C35">
            <w:pPr>
              <w:rPr>
                <w:rFonts w:ascii="Arial" w:hAnsi="Arial" w:cs="Arial"/>
              </w:rPr>
            </w:pPr>
            <w:r w:rsidRPr="00D50BB6">
              <w:rPr>
                <w:rFonts w:ascii="Arial" w:hAnsi="Arial" w:cs="Arial"/>
              </w:rPr>
              <w:t>9. All patients are dosed appropriately according to their renal function</w:t>
            </w:r>
          </w:p>
        </w:tc>
        <w:tc>
          <w:tcPr>
            <w:tcW w:w="2571" w:type="pct"/>
            <w:tcBorders>
              <w:bottom w:val="single" w:sz="4" w:space="0" w:color="auto"/>
            </w:tcBorders>
            <w:tcMar>
              <w:top w:w="28" w:type="dxa"/>
              <w:bottom w:w="28" w:type="dxa"/>
            </w:tcMar>
          </w:tcPr>
          <w:p w14:paraId="04938238" w14:textId="77777777" w:rsidR="00284C35" w:rsidRPr="00D50BB6" w:rsidDel="00502821" w:rsidRDefault="00284C35" w:rsidP="00284C35">
            <w:pPr>
              <w:rPr>
                <w:rFonts w:ascii="Arial" w:hAnsi="Arial" w:cs="Arial"/>
              </w:rPr>
            </w:pPr>
            <w:r w:rsidRPr="00D50BB6">
              <w:rPr>
                <w:rFonts w:ascii="Arial" w:hAnsi="Arial" w:cs="Arial"/>
              </w:rPr>
              <w:t>None</w:t>
            </w:r>
          </w:p>
        </w:tc>
      </w:tr>
      <w:tr w:rsidR="00284C35" w:rsidRPr="00D50BB6" w14:paraId="23B937AE" w14:textId="77777777" w:rsidTr="00C75866">
        <w:tc>
          <w:tcPr>
            <w:tcW w:w="5000" w:type="pct"/>
            <w:gridSpan w:val="2"/>
            <w:shd w:val="clear" w:color="auto" w:fill="D9D9D9"/>
            <w:tcMar>
              <w:top w:w="28" w:type="dxa"/>
              <w:bottom w:w="28" w:type="dxa"/>
            </w:tcMar>
          </w:tcPr>
          <w:p w14:paraId="0F895CC9" w14:textId="77777777" w:rsidR="00284C35" w:rsidRPr="00D50BB6" w:rsidDel="00502821" w:rsidRDefault="00284C35" w:rsidP="00284C35">
            <w:pPr>
              <w:tabs>
                <w:tab w:val="num" w:pos="0"/>
              </w:tabs>
              <w:rPr>
                <w:rFonts w:ascii="Arial" w:hAnsi="Arial" w:cs="Arial"/>
                <w:b/>
              </w:rPr>
            </w:pPr>
            <w:r w:rsidRPr="00D50BB6">
              <w:rPr>
                <w:rFonts w:ascii="Arial" w:hAnsi="Arial" w:cs="Arial"/>
                <w:b/>
              </w:rPr>
              <w:t>Discharge prescriptions</w:t>
            </w:r>
          </w:p>
        </w:tc>
      </w:tr>
      <w:tr w:rsidR="00284C35" w:rsidRPr="00D50BB6" w14:paraId="0C2B29A2" w14:textId="77777777" w:rsidTr="00C75866">
        <w:tc>
          <w:tcPr>
            <w:tcW w:w="2429" w:type="pct"/>
            <w:tcMar>
              <w:top w:w="28" w:type="dxa"/>
              <w:bottom w:w="28" w:type="dxa"/>
            </w:tcMar>
          </w:tcPr>
          <w:p w14:paraId="1399CB95" w14:textId="77777777" w:rsidR="00284C35" w:rsidRPr="00D50BB6" w:rsidDel="00502821" w:rsidRDefault="00284C35" w:rsidP="00284C35">
            <w:pPr>
              <w:rPr>
                <w:rFonts w:ascii="Arial" w:hAnsi="Arial" w:cs="Arial"/>
              </w:rPr>
            </w:pPr>
            <w:r w:rsidRPr="00D50BB6">
              <w:rPr>
                <w:rFonts w:ascii="Arial" w:hAnsi="Arial" w:cs="Arial"/>
              </w:rPr>
              <w:t>10. All patients prescribed tramadol for acute pain are discharged with no more than one week’s supply unless judged to be appropriate by the prescriber</w:t>
            </w:r>
          </w:p>
        </w:tc>
        <w:tc>
          <w:tcPr>
            <w:tcW w:w="2571" w:type="pct"/>
            <w:tcMar>
              <w:top w:w="28" w:type="dxa"/>
              <w:bottom w:w="28" w:type="dxa"/>
            </w:tcMar>
          </w:tcPr>
          <w:p w14:paraId="0E23BD8B" w14:textId="77777777" w:rsidR="00284C35" w:rsidRPr="00D50BB6" w:rsidDel="00502821" w:rsidRDefault="00284C35" w:rsidP="00284C35">
            <w:pPr>
              <w:rPr>
                <w:rFonts w:ascii="Arial" w:hAnsi="Arial" w:cs="Arial"/>
              </w:rPr>
            </w:pPr>
            <w:r w:rsidRPr="00D50BB6">
              <w:rPr>
                <w:rFonts w:ascii="Arial" w:hAnsi="Arial" w:cs="Arial"/>
              </w:rPr>
              <w:t>Unless a longer course of treatment is judged to be appropriate in the individual circumstances of the patient</w:t>
            </w:r>
          </w:p>
        </w:tc>
      </w:tr>
      <w:tr w:rsidR="00284C35" w:rsidRPr="00D50BB6" w14:paraId="174C04AC" w14:textId="77777777" w:rsidTr="00C75866">
        <w:tc>
          <w:tcPr>
            <w:tcW w:w="2429" w:type="pct"/>
            <w:tcMar>
              <w:top w:w="28" w:type="dxa"/>
              <w:bottom w:w="28" w:type="dxa"/>
            </w:tcMar>
          </w:tcPr>
          <w:p w14:paraId="6EE8DECD" w14:textId="77777777" w:rsidR="00284C35" w:rsidRPr="00D50BB6" w:rsidDel="00502821" w:rsidRDefault="00284C35" w:rsidP="00284C35">
            <w:pPr>
              <w:rPr>
                <w:rFonts w:ascii="Arial" w:hAnsi="Arial" w:cs="Arial"/>
              </w:rPr>
            </w:pPr>
            <w:r w:rsidRPr="00D50BB6">
              <w:rPr>
                <w:rFonts w:ascii="Arial" w:hAnsi="Arial" w:cs="Arial"/>
              </w:rPr>
              <w:t>11. All discharge prescriptions for tramadol for acute pain have a clear review or discontinuation date</w:t>
            </w:r>
          </w:p>
        </w:tc>
        <w:tc>
          <w:tcPr>
            <w:tcW w:w="2571" w:type="pct"/>
            <w:tcMar>
              <w:top w:w="28" w:type="dxa"/>
              <w:bottom w:w="28" w:type="dxa"/>
            </w:tcMar>
          </w:tcPr>
          <w:p w14:paraId="76B84C17" w14:textId="77777777" w:rsidR="00284C35" w:rsidRPr="00D50BB6" w:rsidDel="00502821" w:rsidRDefault="00284C35" w:rsidP="00284C35">
            <w:pPr>
              <w:rPr>
                <w:rFonts w:ascii="Arial" w:hAnsi="Arial" w:cs="Arial"/>
              </w:rPr>
            </w:pPr>
            <w:r w:rsidRPr="00D50BB6">
              <w:rPr>
                <w:rFonts w:ascii="Arial" w:hAnsi="Arial" w:cs="Arial"/>
              </w:rPr>
              <w:t>None</w:t>
            </w:r>
          </w:p>
        </w:tc>
      </w:tr>
    </w:tbl>
    <w:p w14:paraId="5A5BE6C4" w14:textId="77777777" w:rsidR="00284C35" w:rsidRPr="00A86AC2" w:rsidRDefault="00284C35" w:rsidP="00284C35">
      <w:pPr>
        <w:rPr>
          <w:rFonts w:ascii="Arial" w:hAnsi="Arial" w:cs="Arial"/>
          <w:b/>
          <w:sz w:val="22"/>
          <w:szCs w:val="22"/>
        </w:rPr>
      </w:pPr>
    </w:p>
    <w:p w14:paraId="12B0D475" w14:textId="77777777" w:rsidR="00284C35" w:rsidRPr="00D50BB6" w:rsidRDefault="00284C35" w:rsidP="00D50BB6">
      <w:pPr>
        <w:spacing w:after="60"/>
        <w:rPr>
          <w:rFonts w:ascii="Arial" w:hAnsi="Arial" w:cs="Arial"/>
          <w:b/>
        </w:rPr>
      </w:pPr>
      <w:r w:rsidRPr="00D50BB6">
        <w:rPr>
          <w:rFonts w:ascii="Arial" w:hAnsi="Arial" w:cs="Arial"/>
          <w:b/>
        </w:rPr>
        <w:t>Method</w:t>
      </w:r>
    </w:p>
    <w:p w14:paraId="24D34B85" w14:textId="77777777" w:rsidR="00284C35" w:rsidRPr="00D50BB6" w:rsidRDefault="00284C35" w:rsidP="00284C35">
      <w:pPr>
        <w:rPr>
          <w:rFonts w:ascii="Arial" w:hAnsi="Arial" w:cs="Arial"/>
        </w:rPr>
      </w:pPr>
      <w:r w:rsidRPr="00D50BB6">
        <w:rPr>
          <w:rFonts w:ascii="Arial" w:hAnsi="Arial" w:cs="Arial"/>
        </w:rPr>
        <w:t>Data collection should take place over a specified one-day period or as decided locally depending on the amount of data expected to be captured. Collect data on all patients prescribed tramadol on drug chart and/or discharge prescriptions using Patient Data Collection Sheet.</w:t>
      </w:r>
    </w:p>
    <w:p w14:paraId="5904FDF0" w14:textId="2B46DE8D" w:rsidR="00284C35" w:rsidRPr="00A86AC2" w:rsidRDefault="00284C35" w:rsidP="002D4495">
      <w:pPr>
        <w:pStyle w:val="Heading2"/>
      </w:pPr>
      <w:r w:rsidRPr="00A86AC2">
        <w:br w:type="page"/>
      </w:r>
      <w:bookmarkStart w:id="4" w:name="_Toc370903015"/>
      <w:bookmarkStart w:id="5" w:name="_Toc78471447"/>
      <w:bookmarkStart w:id="6" w:name="_Toc78472164"/>
      <w:bookmarkStart w:id="7" w:name="_Toc85709511"/>
      <w:r w:rsidR="00B5179A" w:rsidRPr="00A86AC2">
        <w:lastRenderedPageBreak/>
        <w:t xml:space="preserve">Patient data collection sheet </w:t>
      </w:r>
      <w:r w:rsidRPr="00A86AC2">
        <w:t xml:space="preserve">– Tramadol in </w:t>
      </w:r>
      <w:r w:rsidR="002951D1">
        <w:t>s</w:t>
      </w:r>
      <w:r w:rsidRPr="00A86AC2">
        <w:t xml:space="preserve">econdary </w:t>
      </w:r>
      <w:r w:rsidR="002951D1">
        <w:t>c</w:t>
      </w:r>
      <w:r w:rsidRPr="00A86AC2">
        <w:t>are</w:t>
      </w:r>
      <w:bookmarkEnd w:id="4"/>
      <w:bookmarkEnd w:id="5"/>
      <w:bookmarkEnd w:id="6"/>
      <w:bookmarkEnd w:id="7"/>
    </w:p>
    <w:p w14:paraId="2F8ECB1D" w14:textId="77777777" w:rsidR="00284C35" w:rsidRPr="00A86AC2" w:rsidRDefault="00284C35" w:rsidP="00284C35">
      <w:pPr>
        <w:rPr>
          <w:rFonts w:ascii="Arial" w:hAnsi="Arial" w:cs="Arial"/>
          <w:sz w:val="22"/>
          <w:szCs w:val="22"/>
        </w:rPr>
      </w:pPr>
    </w:p>
    <w:p w14:paraId="1412D2BB" w14:textId="71358D3E" w:rsidR="00284C35" w:rsidRPr="00B5179A" w:rsidRDefault="00284C35" w:rsidP="00284C35">
      <w:pPr>
        <w:rPr>
          <w:rFonts w:ascii="Arial" w:hAnsi="Arial" w:cs="Arial"/>
        </w:rPr>
      </w:pPr>
      <w:r w:rsidRPr="00B5179A">
        <w:rPr>
          <w:rFonts w:ascii="Arial" w:hAnsi="Arial" w:cs="Arial"/>
        </w:rPr>
        <w:t>Audit number …………………… Date of data collection ........../......../…....</w:t>
      </w:r>
    </w:p>
    <w:p w14:paraId="312B1671" w14:textId="77777777" w:rsidR="00284C35" w:rsidRPr="00B5179A" w:rsidRDefault="00284C35" w:rsidP="00284C35">
      <w:pPr>
        <w:rPr>
          <w:rFonts w:ascii="Arial" w:hAnsi="Arial" w:cs="Arial"/>
        </w:rPr>
      </w:pPr>
    </w:p>
    <w:p w14:paraId="5D08C3F7" w14:textId="4B245548" w:rsidR="00284C35" w:rsidRPr="00B5179A" w:rsidRDefault="00284C35" w:rsidP="00284C35">
      <w:pPr>
        <w:rPr>
          <w:rFonts w:ascii="Arial" w:hAnsi="Arial" w:cs="Arial"/>
        </w:rPr>
      </w:pPr>
      <w:r w:rsidRPr="00B5179A">
        <w:rPr>
          <w:rFonts w:ascii="Arial" w:hAnsi="Arial" w:cs="Arial"/>
        </w:rPr>
        <w:t>Speciality that patient was under care of/discharged</w:t>
      </w:r>
      <w:r w:rsidR="00B5179A">
        <w:rPr>
          <w:rFonts w:ascii="Arial" w:hAnsi="Arial" w:cs="Arial"/>
        </w:rPr>
        <w:t xml:space="preserve"> </w:t>
      </w:r>
      <w:r w:rsidRPr="00B5179A">
        <w:rPr>
          <w:rFonts w:ascii="Arial" w:hAnsi="Arial" w:cs="Arial"/>
        </w:rPr>
        <w:t>from………………</w:t>
      </w:r>
      <w:r w:rsidR="00B5179A">
        <w:rPr>
          <w:rFonts w:ascii="Arial" w:hAnsi="Arial" w:cs="Arial"/>
        </w:rPr>
        <w:t>….</w:t>
      </w:r>
    </w:p>
    <w:p w14:paraId="3452CF8B" w14:textId="77777777" w:rsidR="00284C35" w:rsidRPr="00B5179A" w:rsidRDefault="00284C35" w:rsidP="00284C35">
      <w:pPr>
        <w:rPr>
          <w:rFonts w:ascii="Arial" w:hAnsi="Arial" w:cs="Arial"/>
        </w:rPr>
      </w:pPr>
    </w:p>
    <w:p w14:paraId="67F0E827" w14:textId="6F29C08C" w:rsidR="00284C35" w:rsidRPr="00B5179A" w:rsidRDefault="00284C35" w:rsidP="00284C35">
      <w:pPr>
        <w:rPr>
          <w:rFonts w:ascii="Arial" w:hAnsi="Arial" w:cs="Arial"/>
        </w:rPr>
      </w:pPr>
      <w:r w:rsidRPr="00B5179A">
        <w:rPr>
          <w:rFonts w:ascii="Arial" w:hAnsi="Arial" w:cs="Arial"/>
        </w:rPr>
        <w:t>Diagnosis for treatment…………………………………………………………</w:t>
      </w:r>
    </w:p>
    <w:p w14:paraId="20070626" w14:textId="77777777" w:rsidR="00284C35" w:rsidRPr="00B5179A" w:rsidRDefault="00284C35" w:rsidP="00284C35">
      <w:pPr>
        <w:rPr>
          <w:rFonts w:ascii="Arial" w:hAnsi="Arial" w:cs="Arial"/>
        </w:rPr>
      </w:pPr>
    </w:p>
    <w:p w14:paraId="48839B73" w14:textId="4F5A57E0" w:rsidR="00284C35" w:rsidRPr="00B5179A" w:rsidRDefault="00284C35" w:rsidP="00284C35">
      <w:pPr>
        <w:rPr>
          <w:rFonts w:ascii="Arial" w:hAnsi="Arial" w:cs="Arial"/>
        </w:rPr>
      </w:pPr>
      <w:r w:rsidRPr="00B5179A">
        <w:rPr>
          <w:rFonts w:ascii="Arial" w:hAnsi="Arial" w:cs="Arial"/>
        </w:rPr>
        <w:t>Total number of patients on ward……………………………………………</w:t>
      </w:r>
      <w:r w:rsidR="00B5179A">
        <w:rPr>
          <w:rFonts w:ascii="Arial" w:hAnsi="Arial" w:cs="Arial"/>
        </w:rPr>
        <w:t>…</w:t>
      </w:r>
    </w:p>
    <w:p w14:paraId="7BEF54BA" w14:textId="77777777" w:rsidR="00284C35" w:rsidRPr="00B5179A" w:rsidRDefault="00284C35" w:rsidP="00284C35">
      <w:pPr>
        <w:rPr>
          <w:rFonts w:ascii="Arial" w:hAnsi="Arial" w:cs="Arial"/>
        </w:rPr>
      </w:pPr>
    </w:p>
    <w:p w14:paraId="27926E7D" w14:textId="5DA3763E" w:rsidR="00284C35" w:rsidRPr="00B5179A" w:rsidRDefault="00284C35" w:rsidP="00284C35">
      <w:pPr>
        <w:rPr>
          <w:rFonts w:ascii="Arial" w:hAnsi="Arial" w:cs="Arial"/>
        </w:rPr>
      </w:pPr>
      <w:r w:rsidRPr="00B5179A">
        <w:rPr>
          <w:rFonts w:ascii="Arial" w:hAnsi="Arial" w:cs="Arial"/>
        </w:rPr>
        <w:t>Total number of patients prescribed tramadol……………………………</w:t>
      </w:r>
      <w:proofErr w:type="gramStart"/>
      <w:r w:rsidRPr="00B5179A">
        <w:rPr>
          <w:rFonts w:ascii="Arial" w:hAnsi="Arial" w:cs="Arial"/>
        </w:rPr>
        <w:t>…</w:t>
      </w:r>
      <w:r w:rsidR="00B5179A">
        <w:rPr>
          <w:rFonts w:ascii="Arial" w:hAnsi="Arial" w:cs="Arial"/>
        </w:rPr>
        <w:t>..</w:t>
      </w:r>
      <w:proofErr w:type="gramEnd"/>
    </w:p>
    <w:p w14:paraId="37A58242" w14:textId="77777777" w:rsidR="00284C35" w:rsidRPr="00A86AC2" w:rsidRDefault="00284C35" w:rsidP="00284C3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326"/>
        <w:gridCol w:w="708"/>
        <w:gridCol w:w="710"/>
        <w:gridCol w:w="2118"/>
      </w:tblGrid>
      <w:tr w:rsidR="00284C35" w:rsidRPr="00B5179A" w14:paraId="42AA6ED5" w14:textId="77777777" w:rsidTr="00B5179A">
        <w:trPr>
          <w:trHeight w:val="544"/>
        </w:trPr>
        <w:tc>
          <w:tcPr>
            <w:tcW w:w="371" w:type="pct"/>
            <w:shd w:val="clear" w:color="auto" w:fill="E0E0E0"/>
            <w:tcMar>
              <w:top w:w="28" w:type="dxa"/>
              <w:bottom w:w="28" w:type="dxa"/>
            </w:tcMar>
            <w:vAlign w:val="center"/>
          </w:tcPr>
          <w:p w14:paraId="6382F770" w14:textId="77777777" w:rsidR="00284C35" w:rsidRPr="00B5179A" w:rsidRDefault="00284C35" w:rsidP="00284C35"/>
        </w:tc>
        <w:tc>
          <w:tcPr>
            <w:tcW w:w="2547" w:type="pct"/>
            <w:shd w:val="clear" w:color="auto" w:fill="E0E0E0"/>
            <w:tcMar>
              <w:top w:w="28" w:type="dxa"/>
              <w:bottom w:w="28" w:type="dxa"/>
            </w:tcMar>
            <w:vAlign w:val="center"/>
          </w:tcPr>
          <w:p w14:paraId="325B7F3F" w14:textId="77777777" w:rsidR="00284C35" w:rsidRPr="00B5179A" w:rsidRDefault="00284C35" w:rsidP="00284C35">
            <w:pPr>
              <w:rPr>
                <w:rFonts w:ascii="Arial" w:hAnsi="Arial" w:cs="Arial"/>
                <w:b/>
              </w:rPr>
            </w:pPr>
          </w:p>
        </w:tc>
        <w:tc>
          <w:tcPr>
            <w:tcW w:w="417" w:type="pct"/>
            <w:shd w:val="clear" w:color="auto" w:fill="E0E0E0"/>
            <w:tcMar>
              <w:top w:w="28" w:type="dxa"/>
              <w:bottom w:w="28" w:type="dxa"/>
            </w:tcMar>
            <w:vAlign w:val="center"/>
          </w:tcPr>
          <w:p w14:paraId="7B2D5B84" w14:textId="77777777" w:rsidR="00284C35" w:rsidRPr="00B5179A" w:rsidRDefault="00284C35" w:rsidP="00284C35">
            <w:pPr>
              <w:rPr>
                <w:rFonts w:ascii="Arial" w:hAnsi="Arial" w:cs="Arial"/>
                <w:b/>
              </w:rPr>
            </w:pPr>
            <w:r w:rsidRPr="00B5179A">
              <w:rPr>
                <w:rFonts w:ascii="Arial" w:hAnsi="Arial" w:cs="Arial"/>
                <w:b/>
              </w:rPr>
              <w:t>Yes</w:t>
            </w:r>
          </w:p>
        </w:tc>
        <w:tc>
          <w:tcPr>
            <w:tcW w:w="418" w:type="pct"/>
            <w:shd w:val="clear" w:color="auto" w:fill="E0E0E0"/>
            <w:tcMar>
              <w:top w:w="28" w:type="dxa"/>
              <w:bottom w:w="28" w:type="dxa"/>
            </w:tcMar>
            <w:vAlign w:val="center"/>
          </w:tcPr>
          <w:p w14:paraId="161CC9AC" w14:textId="77777777" w:rsidR="00284C35" w:rsidRPr="00B5179A" w:rsidRDefault="00284C35" w:rsidP="00284C35">
            <w:pPr>
              <w:rPr>
                <w:rFonts w:ascii="Arial" w:hAnsi="Arial" w:cs="Arial"/>
                <w:b/>
              </w:rPr>
            </w:pPr>
            <w:r w:rsidRPr="00B5179A">
              <w:rPr>
                <w:rFonts w:ascii="Arial" w:hAnsi="Arial" w:cs="Arial"/>
                <w:b/>
              </w:rPr>
              <w:t>No</w:t>
            </w:r>
          </w:p>
        </w:tc>
        <w:tc>
          <w:tcPr>
            <w:tcW w:w="1247" w:type="pct"/>
            <w:shd w:val="clear" w:color="auto" w:fill="E0E0E0"/>
            <w:tcMar>
              <w:top w:w="28" w:type="dxa"/>
              <w:bottom w:w="28" w:type="dxa"/>
            </w:tcMar>
            <w:vAlign w:val="center"/>
          </w:tcPr>
          <w:p w14:paraId="6971828E" w14:textId="77777777" w:rsidR="00284C35" w:rsidRPr="00B5179A" w:rsidRDefault="00284C35" w:rsidP="00284C35">
            <w:pPr>
              <w:rPr>
                <w:rFonts w:ascii="Arial" w:hAnsi="Arial" w:cs="Arial"/>
                <w:b/>
              </w:rPr>
            </w:pPr>
            <w:r w:rsidRPr="00B5179A">
              <w:rPr>
                <w:rFonts w:ascii="Arial" w:hAnsi="Arial" w:cs="Arial"/>
                <w:b/>
              </w:rPr>
              <w:t>Comments</w:t>
            </w:r>
          </w:p>
        </w:tc>
      </w:tr>
      <w:tr w:rsidR="00284C35" w:rsidRPr="00B5179A" w14:paraId="7A5DEDE4" w14:textId="77777777" w:rsidTr="00B5179A">
        <w:trPr>
          <w:trHeight w:val="524"/>
        </w:trPr>
        <w:tc>
          <w:tcPr>
            <w:tcW w:w="371" w:type="pct"/>
            <w:tcMar>
              <w:top w:w="28" w:type="dxa"/>
              <w:bottom w:w="28" w:type="dxa"/>
            </w:tcMar>
            <w:vAlign w:val="center"/>
          </w:tcPr>
          <w:p w14:paraId="1F6AB4C7" w14:textId="77777777" w:rsidR="00284C35" w:rsidRPr="00B5179A" w:rsidRDefault="00284C35" w:rsidP="00284C35">
            <w:pPr>
              <w:rPr>
                <w:rFonts w:ascii="Arial" w:hAnsi="Arial" w:cs="Arial"/>
                <w:b/>
              </w:rPr>
            </w:pPr>
            <w:r w:rsidRPr="00B5179A">
              <w:rPr>
                <w:rFonts w:ascii="Arial" w:hAnsi="Arial" w:cs="Arial"/>
                <w:b/>
              </w:rPr>
              <w:t>1</w:t>
            </w:r>
          </w:p>
        </w:tc>
        <w:tc>
          <w:tcPr>
            <w:tcW w:w="2547" w:type="pct"/>
            <w:tcMar>
              <w:top w:w="28" w:type="dxa"/>
              <w:bottom w:w="28" w:type="dxa"/>
            </w:tcMar>
            <w:vAlign w:val="center"/>
          </w:tcPr>
          <w:p w14:paraId="5BA5F023" w14:textId="77777777" w:rsidR="00284C35" w:rsidRPr="00B5179A" w:rsidRDefault="00284C35" w:rsidP="00284C35">
            <w:pPr>
              <w:rPr>
                <w:rFonts w:ascii="Arial" w:hAnsi="Arial" w:cs="Arial"/>
              </w:rPr>
            </w:pPr>
            <w:r w:rsidRPr="00B5179A">
              <w:rPr>
                <w:rFonts w:ascii="Arial" w:hAnsi="Arial" w:cs="Arial"/>
              </w:rPr>
              <w:t>Is the indication for tramadol is clearly recorded?</w:t>
            </w:r>
          </w:p>
        </w:tc>
        <w:tc>
          <w:tcPr>
            <w:tcW w:w="417" w:type="pct"/>
            <w:tcMar>
              <w:top w:w="28" w:type="dxa"/>
              <w:bottom w:w="28" w:type="dxa"/>
            </w:tcMar>
            <w:vAlign w:val="center"/>
          </w:tcPr>
          <w:p w14:paraId="07FA5140" w14:textId="77777777" w:rsidR="00284C35" w:rsidRPr="00B5179A" w:rsidRDefault="00284C35" w:rsidP="00284C35">
            <w:pPr>
              <w:rPr>
                <w:rFonts w:ascii="Arial" w:hAnsi="Arial" w:cs="Arial"/>
              </w:rPr>
            </w:pPr>
          </w:p>
        </w:tc>
        <w:tc>
          <w:tcPr>
            <w:tcW w:w="418" w:type="pct"/>
            <w:tcMar>
              <w:top w:w="28" w:type="dxa"/>
              <w:bottom w:w="28" w:type="dxa"/>
            </w:tcMar>
            <w:vAlign w:val="center"/>
          </w:tcPr>
          <w:p w14:paraId="290BB242" w14:textId="6A291A6B" w:rsidR="00284C35" w:rsidRPr="00B5179A" w:rsidRDefault="00284C35" w:rsidP="00284C35">
            <w:pPr>
              <w:rPr>
                <w:rFonts w:ascii="Arial" w:hAnsi="Arial" w:cs="Arial"/>
              </w:rPr>
            </w:pPr>
          </w:p>
        </w:tc>
        <w:tc>
          <w:tcPr>
            <w:tcW w:w="1247" w:type="pct"/>
            <w:tcMar>
              <w:top w:w="28" w:type="dxa"/>
              <w:bottom w:w="28" w:type="dxa"/>
            </w:tcMar>
            <w:vAlign w:val="center"/>
          </w:tcPr>
          <w:p w14:paraId="40C255AF" w14:textId="77777777" w:rsidR="00284C35" w:rsidRPr="00B5179A" w:rsidRDefault="00284C35" w:rsidP="00284C35">
            <w:pPr>
              <w:rPr>
                <w:rFonts w:ascii="Arial" w:hAnsi="Arial" w:cs="Arial"/>
              </w:rPr>
            </w:pPr>
          </w:p>
        </w:tc>
      </w:tr>
      <w:tr w:rsidR="00284C35" w:rsidRPr="00B5179A" w14:paraId="2C4D3181" w14:textId="77777777" w:rsidTr="00B5179A">
        <w:trPr>
          <w:trHeight w:val="659"/>
        </w:trPr>
        <w:tc>
          <w:tcPr>
            <w:tcW w:w="371" w:type="pct"/>
            <w:tcMar>
              <w:top w:w="28" w:type="dxa"/>
              <w:bottom w:w="28" w:type="dxa"/>
            </w:tcMar>
            <w:vAlign w:val="center"/>
          </w:tcPr>
          <w:p w14:paraId="007C436F" w14:textId="77777777" w:rsidR="00284C35" w:rsidRPr="00B5179A" w:rsidRDefault="00284C35" w:rsidP="00284C35">
            <w:pPr>
              <w:rPr>
                <w:rFonts w:ascii="Arial" w:hAnsi="Arial" w:cs="Arial"/>
                <w:b/>
              </w:rPr>
            </w:pPr>
            <w:r w:rsidRPr="00B5179A">
              <w:rPr>
                <w:rFonts w:ascii="Arial" w:hAnsi="Arial" w:cs="Arial"/>
                <w:b/>
              </w:rPr>
              <w:t>2</w:t>
            </w:r>
          </w:p>
        </w:tc>
        <w:tc>
          <w:tcPr>
            <w:tcW w:w="2547" w:type="pct"/>
            <w:tcMar>
              <w:top w:w="28" w:type="dxa"/>
              <w:bottom w:w="28" w:type="dxa"/>
            </w:tcMar>
            <w:vAlign w:val="center"/>
          </w:tcPr>
          <w:p w14:paraId="3A33B9B0" w14:textId="77777777" w:rsidR="00284C35" w:rsidRPr="00B5179A" w:rsidRDefault="00284C35" w:rsidP="00284C35">
            <w:pPr>
              <w:rPr>
                <w:rFonts w:ascii="Arial" w:hAnsi="Arial" w:cs="Arial"/>
              </w:rPr>
            </w:pPr>
            <w:r w:rsidRPr="00B5179A">
              <w:rPr>
                <w:rFonts w:ascii="Arial" w:hAnsi="Arial" w:cs="Arial"/>
              </w:rPr>
              <w:t>Is the patient co-</w:t>
            </w:r>
            <w:proofErr w:type="gramStart"/>
            <w:r w:rsidRPr="00B5179A">
              <w:rPr>
                <w:rFonts w:ascii="Arial" w:hAnsi="Arial" w:cs="Arial"/>
              </w:rPr>
              <w:t>prescribed</w:t>
            </w:r>
            <w:proofErr w:type="gramEnd"/>
            <w:r w:rsidRPr="00B5179A">
              <w:rPr>
                <w:rFonts w:ascii="Arial" w:hAnsi="Arial" w:cs="Arial"/>
              </w:rPr>
              <w:t xml:space="preserve"> another regular opioid?</w:t>
            </w:r>
          </w:p>
          <w:p w14:paraId="6D676FE6" w14:textId="77777777" w:rsidR="00284C35" w:rsidRPr="00B5179A" w:rsidRDefault="00284C35" w:rsidP="00284C35">
            <w:pPr>
              <w:rPr>
                <w:rFonts w:ascii="Arial" w:hAnsi="Arial" w:cs="Arial"/>
              </w:rPr>
            </w:pPr>
            <w:r w:rsidRPr="00B5179A">
              <w:rPr>
                <w:rFonts w:ascii="Arial" w:hAnsi="Arial" w:cs="Arial"/>
              </w:rPr>
              <w:t xml:space="preserve">If yes, state which. </w:t>
            </w:r>
          </w:p>
        </w:tc>
        <w:tc>
          <w:tcPr>
            <w:tcW w:w="417" w:type="pct"/>
            <w:tcMar>
              <w:top w:w="28" w:type="dxa"/>
              <w:bottom w:w="28" w:type="dxa"/>
            </w:tcMar>
            <w:vAlign w:val="center"/>
          </w:tcPr>
          <w:p w14:paraId="343CC37D" w14:textId="77777777" w:rsidR="00284C35" w:rsidRPr="00B5179A" w:rsidRDefault="00284C35" w:rsidP="00284C35">
            <w:pPr>
              <w:rPr>
                <w:rFonts w:ascii="Arial" w:hAnsi="Arial" w:cs="Arial"/>
              </w:rPr>
            </w:pPr>
          </w:p>
        </w:tc>
        <w:tc>
          <w:tcPr>
            <w:tcW w:w="418" w:type="pct"/>
            <w:tcMar>
              <w:top w:w="28" w:type="dxa"/>
              <w:bottom w:w="28" w:type="dxa"/>
            </w:tcMar>
            <w:vAlign w:val="center"/>
          </w:tcPr>
          <w:p w14:paraId="1A2472D8" w14:textId="77777777" w:rsidR="00284C35" w:rsidRPr="00B5179A" w:rsidRDefault="00284C35" w:rsidP="00284C35">
            <w:pPr>
              <w:rPr>
                <w:rFonts w:ascii="Arial" w:hAnsi="Arial" w:cs="Arial"/>
              </w:rPr>
            </w:pPr>
          </w:p>
        </w:tc>
        <w:tc>
          <w:tcPr>
            <w:tcW w:w="1247" w:type="pct"/>
            <w:tcMar>
              <w:top w:w="28" w:type="dxa"/>
              <w:bottom w:w="28" w:type="dxa"/>
            </w:tcMar>
            <w:vAlign w:val="center"/>
          </w:tcPr>
          <w:p w14:paraId="0356998C" w14:textId="77777777" w:rsidR="00284C35" w:rsidRPr="00B5179A" w:rsidRDefault="00284C35" w:rsidP="00284C35">
            <w:pPr>
              <w:rPr>
                <w:rFonts w:ascii="Arial" w:hAnsi="Arial" w:cs="Arial"/>
              </w:rPr>
            </w:pPr>
          </w:p>
        </w:tc>
      </w:tr>
      <w:tr w:rsidR="00284C35" w:rsidRPr="00B5179A" w14:paraId="5C77D6E2" w14:textId="77777777" w:rsidTr="00B5179A">
        <w:trPr>
          <w:trHeight w:val="561"/>
        </w:trPr>
        <w:tc>
          <w:tcPr>
            <w:tcW w:w="371" w:type="pct"/>
            <w:tcMar>
              <w:top w:w="28" w:type="dxa"/>
              <w:bottom w:w="28" w:type="dxa"/>
            </w:tcMar>
            <w:vAlign w:val="center"/>
          </w:tcPr>
          <w:p w14:paraId="2870EAB2" w14:textId="77777777" w:rsidR="00284C35" w:rsidRPr="00B5179A" w:rsidRDefault="00284C35" w:rsidP="00284C35">
            <w:pPr>
              <w:rPr>
                <w:rFonts w:ascii="Arial" w:hAnsi="Arial" w:cs="Arial"/>
                <w:b/>
              </w:rPr>
            </w:pPr>
            <w:r w:rsidRPr="00B5179A">
              <w:rPr>
                <w:rFonts w:ascii="Arial" w:hAnsi="Arial" w:cs="Arial"/>
                <w:b/>
              </w:rPr>
              <w:t>3</w:t>
            </w:r>
          </w:p>
        </w:tc>
        <w:tc>
          <w:tcPr>
            <w:tcW w:w="2547" w:type="pct"/>
            <w:tcMar>
              <w:top w:w="28" w:type="dxa"/>
              <w:bottom w:w="28" w:type="dxa"/>
            </w:tcMar>
            <w:vAlign w:val="center"/>
          </w:tcPr>
          <w:p w14:paraId="0EE8776C" w14:textId="77777777" w:rsidR="00284C35" w:rsidRPr="00B5179A" w:rsidRDefault="00284C35" w:rsidP="00284C35">
            <w:pPr>
              <w:rPr>
                <w:rFonts w:ascii="Arial" w:hAnsi="Arial" w:cs="Arial"/>
              </w:rPr>
            </w:pPr>
            <w:r w:rsidRPr="00B5179A">
              <w:rPr>
                <w:rFonts w:ascii="Arial" w:hAnsi="Arial" w:cs="Arial"/>
              </w:rPr>
              <w:t>Was the patient taking tramadol prior to admission?</w:t>
            </w:r>
          </w:p>
        </w:tc>
        <w:tc>
          <w:tcPr>
            <w:tcW w:w="417" w:type="pct"/>
            <w:tcMar>
              <w:top w:w="28" w:type="dxa"/>
              <w:bottom w:w="28" w:type="dxa"/>
            </w:tcMar>
            <w:vAlign w:val="center"/>
          </w:tcPr>
          <w:p w14:paraId="073A2C06" w14:textId="77777777" w:rsidR="00284C35" w:rsidRPr="00B5179A" w:rsidRDefault="00284C35" w:rsidP="00284C35">
            <w:pPr>
              <w:rPr>
                <w:rFonts w:ascii="Arial" w:hAnsi="Arial" w:cs="Arial"/>
              </w:rPr>
            </w:pPr>
          </w:p>
        </w:tc>
        <w:tc>
          <w:tcPr>
            <w:tcW w:w="418" w:type="pct"/>
            <w:tcMar>
              <w:top w:w="28" w:type="dxa"/>
              <w:bottom w:w="28" w:type="dxa"/>
            </w:tcMar>
            <w:vAlign w:val="center"/>
          </w:tcPr>
          <w:p w14:paraId="5DB7A816" w14:textId="77777777" w:rsidR="00284C35" w:rsidRPr="00B5179A" w:rsidRDefault="00284C35" w:rsidP="00284C35">
            <w:pPr>
              <w:rPr>
                <w:rFonts w:ascii="Arial" w:hAnsi="Arial" w:cs="Arial"/>
              </w:rPr>
            </w:pPr>
          </w:p>
        </w:tc>
        <w:tc>
          <w:tcPr>
            <w:tcW w:w="1247" w:type="pct"/>
            <w:tcMar>
              <w:top w:w="28" w:type="dxa"/>
              <w:bottom w:w="28" w:type="dxa"/>
            </w:tcMar>
            <w:vAlign w:val="center"/>
          </w:tcPr>
          <w:p w14:paraId="69B83FE3" w14:textId="77777777" w:rsidR="00284C35" w:rsidRPr="00B5179A" w:rsidRDefault="00284C35" w:rsidP="00284C35">
            <w:pPr>
              <w:rPr>
                <w:rFonts w:ascii="Arial" w:hAnsi="Arial" w:cs="Arial"/>
              </w:rPr>
            </w:pPr>
          </w:p>
        </w:tc>
      </w:tr>
      <w:tr w:rsidR="00284C35" w:rsidRPr="00B5179A" w14:paraId="7781AEE6" w14:textId="77777777" w:rsidTr="00B5179A">
        <w:trPr>
          <w:trHeight w:val="825"/>
        </w:trPr>
        <w:tc>
          <w:tcPr>
            <w:tcW w:w="371" w:type="pct"/>
            <w:shd w:val="clear" w:color="auto" w:fill="auto"/>
            <w:tcMar>
              <w:top w:w="28" w:type="dxa"/>
              <w:bottom w:w="28" w:type="dxa"/>
            </w:tcMar>
            <w:vAlign w:val="center"/>
          </w:tcPr>
          <w:p w14:paraId="7C7B79C2" w14:textId="77777777" w:rsidR="00284C35" w:rsidRPr="00B5179A" w:rsidRDefault="00284C35" w:rsidP="00284C35">
            <w:pPr>
              <w:rPr>
                <w:rFonts w:ascii="Arial" w:hAnsi="Arial" w:cs="Arial"/>
                <w:b/>
              </w:rPr>
            </w:pPr>
            <w:r w:rsidRPr="00B5179A">
              <w:rPr>
                <w:rFonts w:ascii="Arial" w:hAnsi="Arial" w:cs="Arial"/>
                <w:b/>
              </w:rPr>
              <w:t>4</w:t>
            </w:r>
          </w:p>
        </w:tc>
        <w:tc>
          <w:tcPr>
            <w:tcW w:w="2547" w:type="pct"/>
            <w:tcMar>
              <w:top w:w="28" w:type="dxa"/>
              <w:bottom w:w="28" w:type="dxa"/>
            </w:tcMar>
            <w:vAlign w:val="center"/>
          </w:tcPr>
          <w:p w14:paraId="27FB09A1" w14:textId="0A5DF51F" w:rsidR="00284C35" w:rsidRPr="00B5179A" w:rsidRDefault="00284C35" w:rsidP="00284C35">
            <w:pPr>
              <w:rPr>
                <w:rFonts w:ascii="Arial" w:hAnsi="Arial" w:cs="Arial"/>
              </w:rPr>
            </w:pPr>
            <w:r w:rsidRPr="00B5179A">
              <w:rPr>
                <w:rFonts w:ascii="Arial" w:hAnsi="Arial" w:cs="Arial"/>
              </w:rPr>
              <w:t>Was tramadol prescribed first</w:t>
            </w:r>
            <w:r w:rsidR="00CE2B20" w:rsidRPr="00B5179A">
              <w:rPr>
                <w:rFonts w:ascii="Arial" w:hAnsi="Arial" w:cs="Arial"/>
              </w:rPr>
              <w:t xml:space="preserve"> </w:t>
            </w:r>
            <w:r w:rsidRPr="00B5179A">
              <w:rPr>
                <w:rFonts w:ascii="Arial" w:hAnsi="Arial" w:cs="Arial"/>
              </w:rPr>
              <w:t>line?</w:t>
            </w:r>
          </w:p>
          <w:p w14:paraId="64AD2C98" w14:textId="77777777" w:rsidR="00284C35" w:rsidRPr="00B5179A" w:rsidRDefault="00284C35" w:rsidP="00284C35">
            <w:pPr>
              <w:rPr>
                <w:rFonts w:ascii="Arial" w:hAnsi="Arial" w:cs="Arial"/>
              </w:rPr>
            </w:pPr>
          </w:p>
          <w:p w14:paraId="6294AB84" w14:textId="5342F5C4" w:rsidR="00284C35" w:rsidRPr="00B5179A" w:rsidRDefault="00284C35" w:rsidP="00284C35">
            <w:pPr>
              <w:rPr>
                <w:rFonts w:ascii="Arial" w:hAnsi="Arial" w:cs="Arial"/>
              </w:rPr>
            </w:pPr>
            <w:r w:rsidRPr="00B5179A">
              <w:rPr>
                <w:rFonts w:ascii="Arial" w:hAnsi="Arial" w:cs="Arial"/>
              </w:rPr>
              <w:t>If yes, were there any contraindications to other first</w:t>
            </w:r>
            <w:r w:rsidR="00CE2B20" w:rsidRPr="00B5179A">
              <w:rPr>
                <w:rFonts w:ascii="Arial" w:hAnsi="Arial" w:cs="Arial"/>
              </w:rPr>
              <w:noBreakHyphen/>
            </w:r>
            <w:r w:rsidRPr="00B5179A">
              <w:rPr>
                <w:rFonts w:ascii="Arial" w:hAnsi="Arial" w:cs="Arial"/>
              </w:rPr>
              <w:t>line opioids such as codeine?</w:t>
            </w:r>
          </w:p>
        </w:tc>
        <w:tc>
          <w:tcPr>
            <w:tcW w:w="417" w:type="pct"/>
            <w:tcMar>
              <w:top w:w="28" w:type="dxa"/>
              <w:bottom w:w="28" w:type="dxa"/>
            </w:tcMar>
            <w:vAlign w:val="center"/>
          </w:tcPr>
          <w:p w14:paraId="7C84E128" w14:textId="77777777" w:rsidR="00284C35" w:rsidRPr="00B5179A" w:rsidRDefault="00284C35" w:rsidP="00284C35">
            <w:pPr>
              <w:rPr>
                <w:rFonts w:ascii="Arial" w:hAnsi="Arial" w:cs="Arial"/>
              </w:rPr>
            </w:pPr>
          </w:p>
        </w:tc>
        <w:tc>
          <w:tcPr>
            <w:tcW w:w="418" w:type="pct"/>
            <w:tcMar>
              <w:top w:w="28" w:type="dxa"/>
              <w:bottom w:w="28" w:type="dxa"/>
            </w:tcMar>
            <w:vAlign w:val="center"/>
          </w:tcPr>
          <w:p w14:paraId="10BEC58D" w14:textId="77777777" w:rsidR="00284C35" w:rsidRPr="00B5179A" w:rsidRDefault="00284C35" w:rsidP="00284C35">
            <w:pPr>
              <w:rPr>
                <w:rFonts w:ascii="Arial" w:hAnsi="Arial" w:cs="Arial"/>
              </w:rPr>
            </w:pPr>
          </w:p>
        </w:tc>
        <w:tc>
          <w:tcPr>
            <w:tcW w:w="1247" w:type="pct"/>
            <w:tcMar>
              <w:top w:w="28" w:type="dxa"/>
              <w:bottom w:w="28" w:type="dxa"/>
            </w:tcMar>
            <w:vAlign w:val="center"/>
          </w:tcPr>
          <w:p w14:paraId="01AD7C2E" w14:textId="77777777" w:rsidR="00284C35" w:rsidRPr="00B5179A" w:rsidRDefault="00284C35" w:rsidP="00284C35">
            <w:pPr>
              <w:rPr>
                <w:rFonts w:ascii="Arial" w:hAnsi="Arial" w:cs="Arial"/>
              </w:rPr>
            </w:pPr>
          </w:p>
        </w:tc>
      </w:tr>
      <w:tr w:rsidR="00284C35" w:rsidRPr="00B5179A" w14:paraId="6D4CAD4D" w14:textId="77777777" w:rsidTr="00B5179A">
        <w:trPr>
          <w:trHeight w:val="961"/>
        </w:trPr>
        <w:tc>
          <w:tcPr>
            <w:tcW w:w="371" w:type="pct"/>
            <w:shd w:val="clear" w:color="auto" w:fill="auto"/>
            <w:tcMar>
              <w:top w:w="28" w:type="dxa"/>
              <w:bottom w:w="28" w:type="dxa"/>
            </w:tcMar>
            <w:vAlign w:val="center"/>
          </w:tcPr>
          <w:p w14:paraId="451FA49E" w14:textId="77777777" w:rsidR="00284C35" w:rsidRPr="00B5179A" w:rsidRDefault="00284C35" w:rsidP="00284C35">
            <w:pPr>
              <w:rPr>
                <w:rFonts w:ascii="Arial" w:hAnsi="Arial" w:cs="Arial"/>
                <w:b/>
              </w:rPr>
            </w:pPr>
            <w:r w:rsidRPr="00B5179A">
              <w:rPr>
                <w:rFonts w:ascii="Arial" w:hAnsi="Arial" w:cs="Arial"/>
                <w:b/>
              </w:rPr>
              <w:t>5</w:t>
            </w:r>
          </w:p>
        </w:tc>
        <w:tc>
          <w:tcPr>
            <w:tcW w:w="2547" w:type="pct"/>
            <w:tcMar>
              <w:top w:w="28" w:type="dxa"/>
              <w:bottom w:w="28" w:type="dxa"/>
            </w:tcMar>
            <w:vAlign w:val="center"/>
          </w:tcPr>
          <w:p w14:paraId="69FB23ED" w14:textId="77777777" w:rsidR="00284C35" w:rsidRPr="00B5179A" w:rsidRDefault="00284C35" w:rsidP="00284C35">
            <w:pPr>
              <w:rPr>
                <w:rFonts w:ascii="Arial" w:hAnsi="Arial" w:cs="Arial"/>
              </w:rPr>
            </w:pPr>
            <w:r w:rsidRPr="00B5179A">
              <w:rPr>
                <w:rFonts w:ascii="Arial" w:hAnsi="Arial" w:cs="Arial"/>
              </w:rPr>
              <w:t>Does the daily dose of tramadol exceed 400 mg in 24 hours or is the maximum dose ambiguous?</w:t>
            </w:r>
          </w:p>
        </w:tc>
        <w:tc>
          <w:tcPr>
            <w:tcW w:w="417" w:type="pct"/>
            <w:tcMar>
              <w:top w:w="28" w:type="dxa"/>
              <w:bottom w:w="28" w:type="dxa"/>
            </w:tcMar>
            <w:vAlign w:val="center"/>
          </w:tcPr>
          <w:p w14:paraId="629E35D4" w14:textId="77777777" w:rsidR="00284C35" w:rsidRPr="00B5179A" w:rsidRDefault="00284C35" w:rsidP="00284C35">
            <w:pPr>
              <w:rPr>
                <w:rFonts w:ascii="Arial" w:hAnsi="Arial" w:cs="Arial"/>
              </w:rPr>
            </w:pPr>
          </w:p>
        </w:tc>
        <w:tc>
          <w:tcPr>
            <w:tcW w:w="418" w:type="pct"/>
            <w:tcMar>
              <w:top w:w="28" w:type="dxa"/>
              <w:bottom w:w="28" w:type="dxa"/>
            </w:tcMar>
            <w:vAlign w:val="center"/>
          </w:tcPr>
          <w:p w14:paraId="6A83F415" w14:textId="77777777" w:rsidR="00284C35" w:rsidRPr="00B5179A" w:rsidRDefault="00284C35" w:rsidP="00284C35">
            <w:pPr>
              <w:rPr>
                <w:rFonts w:ascii="Arial" w:hAnsi="Arial" w:cs="Arial"/>
              </w:rPr>
            </w:pPr>
          </w:p>
        </w:tc>
        <w:tc>
          <w:tcPr>
            <w:tcW w:w="1247" w:type="pct"/>
            <w:tcMar>
              <w:top w:w="28" w:type="dxa"/>
              <w:bottom w:w="28" w:type="dxa"/>
            </w:tcMar>
            <w:vAlign w:val="center"/>
          </w:tcPr>
          <w:p w14:paraId="6337C350" w14:textId="77777777" w:rsidR="00284C35" w:rsidRPr="00B5179A" w:rsidRDefault="00284C35" w:rsidP="00284C35">
            <w:pPr>
              <w:rPr>
                <w:rFonts w:ascii="Arial" w:hAnsi="Arial" w:cs="Arial"/>
              </w:rPr>
            </w:pPr>
          </w:p>
        </w:tc>
      </w:tr>
      <w:tr w:rsidR="00284C35" w:rsidRPr="00B5179A" w14:paraId="473D412D" w14:textId="77777777" w:rsidTr="00B5179A">
        <w:trPr>
          <w:trHeight w:val="646"/>
        </w:trPr>
        <w:tc>
          <w:tcPr>
            <w:tcW w:w="371" w:type="pct"/>
            <w:shd w:val="clear" w:color="auto" w:fill="auto"/>
            <w:tcMar>
              <w:top w:w="28" w:type="dxa"/>
              <w:bottom w:w="28" w:type="dxa"/>
            </w:tcMar>
            <w:vAlign w:val="center"/>
          </w:tcPr>
          <w:p w14:paraId="31A149A0" w14:textId="77777777" w:rsidR="00284C35" w:rsidRPr="00B5179A" w:rsidRDefault="00284C35" w:rsidP="00284C35">
            <w:pPr>
              <w:rPr>
                <w:rFonts w:ascii="Arial" w:hAnsi="Arial" w:cs="Arial"/>
                <w:b/>
              </w:rPr>
            </w:pPr>
            <w:r w:rsidRPr="00B5179A">
              <w:rPr>
                <w:rFonts w:ascii="Arial" w:hAnsi="Arial" w:cs="Arial"/>
                <w:b/>
              </w:rPr>
              <w:t>6</w:t>
            </w:r>
          </w:p>
        </w:tc>
        <w:tc>
          <w:tcPr>
            <w:tcW w:w="2547" w:type="pct"/>
            <w:tcMar>
              <w:top w:w="28" w:type="dxa"/>
              <w:bottom w:w="28" w:type="dxa"/>
            </w:tcMar>
            <w:vAlign w:val="center"/>
          </w:tcPr>
          <w:p w14:paraId="13925346" w14:textId="77777777" w:rsidR="00284C35" w:rsidRPr="00B5179A" w:rsidRDefault="00284C35" w:rsidP="00284C35">
            <w:pPr>
              <w:rPr>
                <w:rFonts w:ascii="Arial" w:hAnsi="Arial" w:cs="Arial"/>
              </w:rPr>
            </w:pPr>
            <w:r w:rsidRPr="00B5179A">
              <w:rPr>
                <w:rFonts w:ascii="Arial" w:hAnsi="Arial" w:cs="Arial"/>
              </w:rPr>
              <w:t>Is the patient co-</w:t>
            </w:r>
            <w:proofErr w:type="gramStart"/>
            <w:r w:rsidRPr="00B5179A">
              <w:rPr>
                <w:rFonts w:ascii="Arial" w:hAnsi="Arial" w:cs="Arial"/>
              </w:rPr>
              <w:t>prescribed</w:t>
            </w:r>
            <w:proofErr w:type="gramEnd"/>
            <w:r w:rsidRPr="00B5179A">
              <w:rPr>
                <w:rFonts w:ascii="Arial" w:hAnsi="Arial" w:cs="Arial"/>
              </w:rPr>
              <w:t xml:space="preserve"> an interacting medicine? </w:t>
            </w:r>
          </w:p>
        </w:tc>
        <w:tc>
          <w:tcPr>
            <w:tcW w:w="417" w:type="pct"/>
            <w:tcMar>
              <w:top w:w="28" w:type="dxa"/>
              <w:bottom w:w="28" w:type="dxa"/>
            </w:tcMar>
            <w:vAlign w:val="center"/>
          </w:tcPr>
          <w:p w14:paraId="6F91573A" w14:textId="77777777" w:rsidR="00284C35" w:rsidRPr="00B5179A" w:rsidRDefault="00284C35" w:rsidP="00284C35">
            <w:pPr>
              <w:rPr>
                <w:rFonts w:ascii="Arial" w:hAnsi="Arial" w:cs="Arial"/>
              </w:rPr>
            </w:pPr>
          </w:p>
        </w:tc>
        <w:tc>
          <w:tcPr>
            <w:tcW w:w="418" w:type="pct"/>
            <w:tcMar>
              <w:top w:w="28" w:type="dxa"/>
              <w:bottom w:w="28" w:type="dxa"/>
            </w:tcMar>
            <w:vAlign w:val="center"/>
          </w:tcPr>
          <w:p w14:paraId="35CC521E" w14:textId="77777777" w:rsidR="00284C35" w:rsidRPr="00B5179A" w:rsidRDefault="00284C35" w:rsidP="00284C35">
            <w:pPr>
              <w:rPr>
                <w:rFonts w:ascii="Arial" w:hAnsi="Arial" w:cs="Arial"/>
              </w:rPr>
            </w:pPr>
          </w:p>
        </w:tc>
        <w:tc>
          <w:tcPr>
            <w:tcW w:w="1247" w:type="pct"/>
            <w:tcMar>
              <w:top w:w="28" w:type="dxa"/>
              <w:bottom w:w="28" w:type="dxa"/>
            </w:tcMar>
            <w:vAlign w:val="center"/>
          </w:tcPr>
          <w:p w14:paraId="7A772116" w14:textId="77777777" w:rsidR="00284C35" w:rsidRPr="00B5179A" w:rsidRDefault="00284C35" w:rsidP="00284C35">
            <w:pPr>
              <w:rPr>
                <w:rFonts w:ascii="Arial" w:hAnsi="Arial" w:cs="Arial"/>
              </w:rPr>
            </w:pPr>
          </w:p>
        </w:tc>
      </w:tr>
      <w:tr w:rsidR="00284C35" w:rsidRPr="00B5179A" w14:paraId="5D07F5E6" w14:textId="77777777" w:rsidTr="00B5179A">
        <w:trPr>
          <w:trHeight w:val="529"/>
        </w:trPr>
        <w:tc>
          <w:tcPr>
            <w:tcW w:w="371" w:type="pct"/>
            <w:shd w:val="clear" w:color="auto" w:fill="auto"/>
            <w:tcMar>
              <w:top w:w="28" w:type="dxa"/>
              <w:bottom w:w="28" w:type="dxa"/>
            </w:tcMar>
            <w:vAlign w:val="center"/>
          </w:tcPr>
          <w:p w14:paraId="13FA42AD" w14:textId="77777777" w:rsidR="00284C35" w:rsidRPr="00B5179A" w:rsidRDefault="00284C35" w:rsidP="00284C35">
            <w:pPr>
              <w:rPr>
                <w:rFonts w:ascii="Arial" w:hAnsi="Arial" w:cs="Arial"/>
                <w:b/>
              </w:rPr>
            </w:pPr>
            <w:r w:rsidRPr="00B5179A">
              <w:rPr>
                <w:rFonts w:ascii="Arial" w:hAnsi="Arial" w:cs="Arial"/>
                <w:b/>
              </w:rPr>
              <w:t>7</w:t>
            </w:r>
          </w:p>
        </w:tc>
        <w:tc>
          <w:tcPr>
            <w:tcW w:w="2547" w:type="pct"/>
            <w:tcMar>
              <w:top w:w="28" w:type="dxa"/>
              <w:bottom w:w="28" w:type="dxa"/>
            </w:tcMar>
            <w:vAlign w:val="center"/>
          </w:tcPr>
          <w:p w14:paraId="02DCACD6" w14:textId="77777777" w:rsidR="00284C35" w:rsidRPr="00B5179A" w:rsidRDefault="00284C35" w:rsidP="00284C35">
            <w:pPr>
              <w:rPr>
                <w:rFonts w:ascii="Arial" w:hAnsi="Arial" w:cs="Arial"/>
              </w:rPr>
            </w:pPr>
            <w:r w:rsidRPr="00B5179A">
              <w:rPr>
                <w:rFonts w:ascii="Arial" w:hAnsi="Arial" w:cs="Arial"/>
              </w:rPr>
              <w:t>Does the patient have a history of substance misuse?</w:t>
            </w:r>
          </w:p>
        </w:tc>
        <w:tc>
          <w:tcPr>
            <w:tcW w:w="417" w:type="pct"/>
            <w:tcMar>
              <w:top w:w="28" w:type="dxa"/>
              <w:bottom w:w="28" w:type="dxa"/>
            </w:tcMar>
            <w:vAlign w:val="center"/>
          </w:tcPr>
          <w:p w14:paraId="66DF33E1" w14:textId="77777777" w:rsidR="00284C35" w:rsidRPr="00B5179A" w:rsidRDefault="00284C35" w:rsidP="00284C35">
            <w:pPr>
              <w:rPr>
                <w:rFonts w:ascii="Arial" w:hAnsi="Arial" w:cs="Arial"/>
              </w:rPr>
            </w:pPr>
          </w:p>
        </w:tc>
        <w:tc>
          <w:tcPr>
            <w:tcW w:w="418" w:type="pct"/>
            <w:tcMar>
              <w:top w:w="28" w:type="dxa"/>
              <w:bottom w:w="28" w:type="dxa"/>
            </w:tcMar>
            <w:vAlign w:val="center"/>
          </w:tcPr>
          <w:p w14:paraId="1BD62A0A" w14:textId="77777777" w:rsidR="00284C35" w:rsidRPr="00B5179A" w:rsidRDefault="00284C35" w:rsidP="00284C35">
            <w:pPr>
              <w:rPr>
                <w:rFonts w:ascii="Arial" w:hAnsi="Arial" w:cs="Arial"/>
              </w:rPr>
            </w:pPr>
          </w:p>
        </w:tc>
        <w:tc>
          <w:tcPr>
            <w:tcW w:w="1247" w:type="pct"/>
            <w:tcMar>
              <w:top w:w="28" w:type="dxa"/>
              <w:bottom w:w="28" w:type="dxa"/>
            </w:tcMar>
            <w:vAlign w:val="center"/>
          </w:tcPr>
          <w:p w14:paraId="02179050" w14:textId="77777777" w:rsidR="00284C35" w:rsidRPr="00B5179A" w:rsidRDefault="00284C35" w:rsidP="00284C35">
            <w:pPr>
              <w:rPr>
                <w:rFonts w:ascii="Arial" w:hAnsi="Arial" w:cs="Arial"/>
              </w:rPr>
            </w:pPr>
          </w:p>
        </w:tc>
      </w:tr>
      <w:tr w:rsidR="00284C35" w:rsidRPr="00B5179A" w14:paraId="2F1CF193" w14:textId="77777777" w:rsidTr="00B5179A">
        <w:trPr>
          <w:trHeight w:val="533"/>
        </w:trPr>
        <w:tc>
          <w:tcPr>
            <w:tcW w:w="371" w:type="pct"/>
            <w:tcMar>
              <w:top w:w="28" w:type="dxa"/>
              <w:bottom w:w="28" w:type="dxa"/>
            </w:tcMar>
            <w:vAlign w:val="center"/>
          </w:tcPr>
          <w:p w14:paraId="1571522D" w14:textId="77777777" w:rsidR="00284C35" w:rsidRPr="00B5179A" w:rsidRDefault="00284C35" w:rsidP="00284C35">
            <w:pPr>
              <w:rPr>
                <w:rFonts w:ascii="Arial" w:hAnsi="Arial" w:cs="Arial"/>
                <w:b/>
              </w:rPr>
            </w:pPr>
            <w:r w:rsidRPr="00B5179A">
              <w:rPr>
                <w:rFonts w:ascii="Arial" w:hAnsi="Arial" w:cs="Arial"/>
                <w:b/>
              </w:rPr>
              <w:t>8</w:t>
            </w:r>
          </w:p>
        </w:tc>
        <w:tc>
          <w:tcPr>
            <w:tcW w:w="2547" w:type="pct"/>
            <w:tcMar>
              <w:top w:w="28" w:type="dxa"/>
              <w:bottom w:w="28" w:type="dxa"/>
            </w:tcMar>
            <w:vAlign w:val="center"/>
          </w:tcPr>
          <w:p w14:paraId="376A35C1" w14:textId="77777777" w:rsidR="00284C35" w:rsidRPr="00B5179A" w:rsidRDefault="00284C35" w:rsidP="00284C35">
            <w:pPr>
              <w:rPr>
                <w:rFonts w:ascii="Arial" w:hAnsi="Arial" w:cs="Arial"/>
              </w:rPr>
            </w:pPr>
            <w:r w:rsidRPr="00B5179A">
              <w:rPr>
                <w:rFonts w:ascii="Arial" w:hAnsi="Arial" w:cs="Arial"/>
              </w:rPr>
              <w:t>Does the patient have a history of epilepsy or seizures?</w:t>
            </w:r>
          </w:p>
        </w:tc>
        <w:tc>
          <w:tcPr>
            <w:tcW w:w="417" w:type="pct"/>
            <w:tcMar>
              <w:top w:w="28" w:type="dxa"/>
              <w:bottom w:w="28" w:type="dxa"/>
            </w:tcMar>
            <w:vAlign w:val="center"/>
          </w:tcPr>
          <w:p w14:paraId="009D09CE" w14:textId="77777777" w:rsidR="00284C35" w:rsidRPr="00B5179A" w:rsidRDefault="00284C35" w:rsidP="00284C35">
            <w:pPr>
              <w:rPr>
                <w:rFonts w:ascii="Arial" w:hAnsi="Arial" w:cs="Arial"/>
              </w:rPr>
            </w:pPr>
          </w:p>
        </w:tc>
        <w:tc>
          <w:tcPr>
            <w:tcW w:w="418" w:type="pct"/>
            <w:tcMar>
              <w:top w:w="28" w:type="dxa"/>
              <w:bottom w:w="28" w:type="dxa"/>
            </w:tcMar>
            <w:vAlign w:val="center"/>
          </w:tcPr>
          <w:p w14:paraId="238DCB66" w14:textId="77777777" w:rsidR="00284C35" w:rsidRPr="00B5179A" w:rsidRDefault="00284C35" w:rsidP="00284C35">
            <w:pPr>
              <w:rPr>
                <w:rFonts w:ascii="Arial" w:hAnsi="Arial" w:cs="Arial"/>
              </w:rPr>
            </w:pPr>
          </w:p>
        </w:tc>
        <w:tc>
          <w:tcPr>
            <w:tcW w:w="1247" w:type="pct"/>
            <w:tcMar>
              <w:top w:w="28" w:type="dxa"/>
              <w:bottom w:w="28" w:type="dxa"/>
            </w:tcMar>
            <w:vAlign w:val="center"/>
          </w:tcPr>
          <w:p w14:paraId="11C0DE4D" w14:textId="77777777" w:rsidR="00284C35" w:rsidRPr="00B5179A" w:rsidRDefault="00284C35" w:rsidP="00284C35">
            <w:pPr>
              <w:rPr>
                <w:rFonts w:ascii="Arial" w:hAnsi="Arial" w:cs="Arial"/>
              </w:rPr>
            </w:pPr>
          </w:p>
        </w:tc>
      </w:tr>
      <w:tr w:rsidR="00284C35" w:rsidRPr="00B5179A" w14:paraId="651C6089" w14:textId="77777777" w:rsidTr="00B5179A">
        <w:trPr>
          <w:trHeight w:val="436"/>
        </w:trPr>
        <w:tc>
          <w:tcPr>
            <w:tcW w:w="371" w:type="pct"/>
            <w:tcBorders>
              <w:bottom w:val="single" w:sz="4" w:space="0" w:color="auto"/>
            </w:tcBorders>
            <w:tcMar>
              <w:top w:w="28" w:type="dxa"/>
              <w:bottom w:w="28" w:type="dxa"/>
            </w:tcMar>
            <w:vAlign w:val="center"/>
          </w:tcPr>
          <w:p w14:paraId="046C5C13" w14:textId="77777777" w:rsidR="00284C35" w:rsidRPr="00B5179A" w:rsidRDefault="00284C35" w:rsidP="00284C35">
            <w:pPr>
              <w:rPr>
                <w:rFonts w:ascii="Arial" w:hAnsi="Arial" w:cs="Arial"/>
                <w:b/>
              </w:rPr>
            </w:pPr>
            <w:r w:rsidRPr="00B5179A">
              <w:rPr>
                <w:rFonts w:ascii="Arial" w:hAnsi="Arial" w:cs="Arial"/>
                <w:b/>
              </w:rPr>
              <w:t>9a</w:t>
            </w:r>
          </w:p>
        </w:tc>
        <w:tc>
          <w:tcPr>
            <w:tcW w:w="2547" w:type="pct"/>
            <w:tcBorders>
              <w:bottom w:val="single" w:sz="4" w:space="0" w:color="auto"/>
            </w:tcBorders>
            <w:tcMar>
              <w:top w:w="28" w:type="dxa"/>
              <w:bottom w:w="28" w:type="dxa"/>
            </w:tcMar>
            <w:vAlign w:val="center"/>
          </w:tcPr>
          <w:p w14:paraId="4C15018E" w14:textId="4ADB4B33" w:rsidR="00284C35" w:rsidRPr="00B5179A" w:rsidRDefault="00284C35" w:rsidP="00284C35">
            <w:pPr>
              <w:rPr>
                <w:rFonts w:ascii="Arial" w:hAnsi="Arial" w:cs="Arial"/>
              </w:rPr>
            </w:pPr>
            <w:r w:rsidRPr="00B5179A">
              <w:rPr>
                <w:rFonts w:ascii="Arial" w:hAnsi="Arial" w:cs="Arial"/>
              </w:rPr>
              <w:t>Is the patient’s GFR &lt;</w:t>
            </w:r>
            <w:r w:rsidR="00CE2B20" w:rsidRPr="00B5179A">
              <w:rPr>
                <w:rFonts w:ascii="Arial" w:hAnsi="Arial" w:cs="Arial"/>
              </w:rPr>
              <w:t> </w:t>
            </w:r>
            <w:r w:rsidRPr="00B5179A">
              <w:rPr>
                <w:rFonts w:ascii="Arial" w:hAnsi="Arial" w:cs="Arial"/>
              </w:rPr>
              <w:t xml:space="preserve">20 ml/min? </w:t>
            </w:r>
          </w:p>
        </w:tc>
        <w:tc>
          <w:tcPr>
            <w:tcW w:w="417" w:type="pct"/>
            <w:tcBorders>
              <w:bottom w:val="single" w:sz="4" w:space="0" w:color="auto"/>
            </w:tcBorders>
            <w:tcMar>
              <w:top w:w="28" w:type="dxa"/>
              <w:bottom w:w="28" w:type="dxa"/>
            </w:tcMar>
            <w:vAlign w:val="center"/>
          </w:tcPr>
          <w:p w14:paraId="5CE99311" w14:textId="77777777" w:rsidR="00284C35" w:rsidRPr="00B5179A" w:rsidRDefault="00284C35" w:rsidP="00284C35">
            <w:pPr>
              <w:rPr>
                <w:rFonts w:ascii="Arial" w:hAnsi="Arial" w:cs="Arial"/>
              </w:rPr>
            </w:pPr>
          </w:p>
        </w:tc>
        <w:tc>
          <w:tcPr>
            <w:tcW w:w="418" w:type="pct"/>
            <w:tcBorders>
              <w:bottom w:val="single" w:sz="4" w:space="0" w:color="auto"/>
            </w:tcBorders>
            <w:tcMar>
              <w:top w:w="28" w:type="dxa"/>
              <w:bottom w:w="28" w:type="dxa"/>
            </w:tcMar>
            <w:vAlign w:val="center"/>
          </w:tcPr>
          <w:p w14:paraId="07BBD9AE" w14:textId="77777777" w:rsidR="00284C35" w:rsidRPr="00B5179A" w:rsidRDefault="00284C35" w:rsidP="00284C35">
            <w:pPr>
              <w:rPr>
                <w:rFonts w:ascii="Arial" w:hAnsi="Arial" w:cs="Arial"/>
              </w:rPr>
            </w:pPr>
          </w:p>
        </w:tc>
        <w:tc>
          <w:tcPr>
            <w:tcW w:w="1247" w:type="pct"/>
            <w:tcBorders>
              <w:bottom w:val="single" w:sz="4" w:space="0" w:color="auto"/>
            </w:tcBorders>
            <w:tcMar>
              <w:top w:w="28" w:type="dxa"/>
              <w:bottom w:w="28" w:type="dxa"/>
            </w:tcMar>
            <w:vAlign w:val="center"/>
          </w:tcPr>
          <w:p w14:paraId="4C9AAE45" w14:textId="77777777" w:rsidR="00284C35" w:rsidRPr="00B5179A" w:rsidRDefault="00284C35" w:rsidP="00284C35">
            <w:pPr>
              <w:rPr>
                <w:rFonts w:ascii="Arial" w:hAnsi="Arial" w:cs="Arial"/>
              </w:rPr>
            </w:pPr>
          </w:p>
        </w:tc>
      </w:tr>
      <w:tr w:rsidR="00284C35" w:rsidRPr="00B5179A" w14:paraId="17D9C7DA" w14:textId="77777777" w:rsidTr="00B5179A">
        <w:trPr>
          <w:trHeight w:val="500"/>
        </w:trPr>
        <w:tc>
          <w:tcPr>
            <w:tcW w:w="371" w:type="pct"/>
            <w:tcBorders>
              <w:bottom w:val="single" w:sz="4" w:space="0" w:color="auto"/>
            </w:tcBorders>
            <w:tcMar>
              <w:top w:w="28" w:type="dxa"/>
              <w:bottom w:w="28" w:type="dxa"/>
            </w:tcMar>
            <w:vAlign w:val="center"/>
          </w:tcPr>
          <w:p w14:paraId="0CB04EF3" w14:textId="77777777" w:rsidR="00284C35" w:rsidRPr="00B5179A" w:rsidRDefault="00284C35" w:rsidP="00284C35">
            <w:pPr>
              <w:rPr>
                <w:rFonts w:ascii="Arial" w:hAnsi="Arial" w:cs="Arial"/>
                <w:b/>
              </w:rPr>
            </w:pPr>
            <w:r w:rsidRPr="00B5179A">
              <w:rPr>
                <w:rFonts w:ascii="Arial" w:hAnsi="Arial" w:cs="Arial"/>
                <w:b/>
              </w:rPr>
              <w:t>9b</w:t>
            </w:r>
          </w:p>
        </w:tc>
        <w:tc>
          <w:tcPr>
            <w:tcW w:w="2547" w:type="pct"/>
            <w:tcBorders>
              <w:bottom w:val="single" w:sz="4" w:space="0" w:color="auto"/>
            </w:tcBorders>
            <w:tcMar>
              <w:top w:w="28" w:type="dxa"/>
              <w:bottom w:w="28" w:type="dxa"/>
            </w:tcMar>
            <w:vAlign w:val="center"/>
          </w:tcPr>
          <w:p w14:paraId="62D17852" w14:textId="2E69C62E" w:rsidR="00284C35" w:rsidRPr="00B5179A" w:rsidRDefault="00284C35" w:rsidP="00284C35">
            <w:pPr>
              <w:rPr>
                <w:rFonts w:ascii="Arial" w:hAnsi="Arial" w:cs="Arial"/>
              </w:rPr>
            </w:pPr>
            <w:r w:rsidRPr="00B5179A">
              <w:rPr>
                <w:rFonts w:ascii="Arial" w:hAnsi="Arial" w:cs="Arial"/>
              </w:rPr>
              <w:t>If the patient</w:t>
            </w:r>
            <w:r w:rsidR="00CE2B20" w:rsidRPr="00B5179A">
              <w:rPr>
                <w:rFonts w:ascii="Arial" w:hAnsi="Arial" w:cs="Arial"/>
              </w:rPr>
              <w:t>’</w:t>
            </w:r>
            <w:r w:rsidRPr="00B5179A">
              <w:rPr>
                <w:rFonts w:ascii="Arial" w:hAnsi="Arial" w:cs="Arial"/>
              </w:rPr>
              <w:t>s GFR is &lt;</w:t>
            </w:r>
            <w:r w:rsidR="00CE2B20" w:rsidRPr="00B5179A">
              <w:rPr>
                <w:rFonts w:ascii="Arial" w:hAnsi="Arial" w:cs="Arial"/>
              </w:rPr>
              <w:t> </w:t>
            </w:r>
            <w:r w:rsidRPr="00B5179A">
              <w:rPr>
                <w:rFonts w:ascii="Arial" w:hAnsi="Arial" w:cs="Arial"/>
              </w:rPr>
              <w:t xml:space="preserve">20 ml/min, has the dose been adjusted? </w:t>
            </w:r>
          </w:p>
        </w:tc>
        <w:tc>
          <w:tcPr>
            <w:tcW w:w="417" w:type="pct"/>
            <w:tcBorders>
              <w:bottom w:val="single" w:sz="4" w:space="0" w:color="auto"/>
            </w:tcBorders>
            <w:tcMar>
              <w:top w:w="28" w:type="dxa"/>
              <w:bottom w:w="28" w:type="dxa"/>
            </w:tcMar>
            <w:vAlign w:val="center"/>
          </w:tcPr>
          <w:p w14:paraId="1901DCE6" w14:textId="77777777" w:rsidR="00284C35" w:rsidRPr="00B5179A" w:rsidRDefault="00284C35" w:rsidP="00284C35">
            <w:pPr>
              <w:rPr>
                <w:rFonts w:ascii="Arial" w:hAnsi="Arial" w:cs="Arial"/>
              </w:rPr>
            </w:pPr>
          </w:p>
        </w:tc>
        <w:tc>
          <w:tcPr>
            <w:tcW w:w="418" w:type="pct"/>
            <w:tcBorders>
              <w:bottom w:val="single" w:sz="4" w:space="0" w:color="auto"/>
            </w:tcBorders>
            <w:tcMar>
              <w:top w:w="28" w:type="dxa"/>
              <w:bottom w:w="28" w:type="dxa"/>
            </w:tcMar>
            <w:vAlign w:val="center"/>
          </w:tcPr>
          <w:p w14:paraId="778427BD" w14:textId="77777777" w:rsidR="00284C35" w:rsidRPr="00B5179A" w:rsidRDefault="00284C35" w:rsidP="00284C35">
            <w:pPr>
              <w:rPr>
                <w:rFonts w:ascii="Arial" w:hAnsi="Arial" w:cs="Arial"/>
              </w:rPr>
            </w:pPr>
          </w:p>
        </w:tc>
        <w:tc>
          <w:tcPr>
            <w:tcW w:w="1247" w:type="pct"/>
            <w:tcBorders>
              <w:bottom w:val="single" w:sz="4" w:space="0" w:color="auto"/>
            </w:tcBorders>
            <w:tcMar>
              <w:top w:w="28" w:type="dxa"/>
              <w:bottom w:w="28" w:type="dxa"/>
            </w:tcMar>
            <w:vAlign w:val="center"/>
          </w:tcPr>
          <w:p w14:paraId="23F562BE" w14:textId="77777777" w:rsidR="00284C35" w:rsidRPr="00B5179A" w:rsidRDefault="00284C35" w:rsidP="00284C35">
            <w:pPr>
              <w:rPr>
                <w:rFonts w:ascii="Arial" w:hAnsi="Arial" w:cs="Arial"/>
              </w:rPr>
            </w:pPr>
          </w:p>
        </w:tc>
      </w:tr>
      <w:tr w:rsidR="00284C35" w:rsidRPr="00B5179A" w14:paraId="3954ED87" w14:textId="77777777" w:rsidTr="00B5179A">
        <w:trPr>
          <w:trHeight w:val="353"/>
        </w:trPr>
        <w:tc>
          <w:tcPr>
            <w:tcW w:w="371" w:type="pct"/>
            <w:shd w:val="clear" w:color="auto" w:fill="E0E0E0"/>
            <w:tcMar>
              <w:top w:w="28" w:type="dxa"/>
              <w:bottom w:w="28" w:type="dxa"/>
            </w:tcMar>
            <w:vAlign w:val="center"/>
          </w:tcPr>
          <w:p w14:paraId="18D4ABD9" w14:textId="77777777" w:rsidR="00284C35" w:rsidRPr="00B5179A" w:rsidRDefault="00284C35" w:rsidP="00284C35">
            <w:pPr>
              <w:rPr>
                <w:rFonts w:ascii="Arial" w:hAnsi="Arial" w:cs="Arial"/>
                <w:b/>
              </w:rPr>
            </w:pPr>
            <w:r w:rsidRPr="00B5179A">
              <w:rPr>
                <w:rFonts w:ascii="Arial" w:hAnsi="Arial" w:cs="Arial"/>
                <w:b/>
              </w:rPr>
              <w:t>10</w:t>
            </w:r>
          </w:p>
        </w:tc>
        <w:tc>
          <w:tcPr>
            <w:tcW w:w="2547" w:type="pct"/>
            <w:tcBorders>
              <w:bottom w:val="single" w:sz="4" w:space="0" w:color="auto"/>
            </w:tcBorders>
            <w:shd w:val="clear" w:color="auto" w:fill="D9D9D9"/>
            <w:tcMar>
              <w:top w:w="28" w:type="dxa"/>
              <w:bottom w:w="28" w:type="dxa"/>
            </w:tcMar>
            <w:vAlign w:val="center"/>
          </w:tcPr>
          <w:p w14:paraId="31D15968" w14:textId="77777777" w:rsidR="00284C35" w:rsidRPr="00B5179A" w:rsidRDefault="00284C35" w:rsidP="00284C35">
            <w:pPr>
              <w:rPr>
                <w:rFonts w:ascii="Arial" w:hAnsi="Arial" w:cs="Arial"/>
                <w:b/>
              </w:rPr>
            </w:pPr>
            <w:r w:rsidRPr="00B5179A">
              <w:rPr>
                <w:rFonts w:ascii="Arial" w:hAnsi="Arial" w:cs="Arial"/>
                <w:b/>
              </w:rPr>
              <w:t>Questions relating to discharge prescriptions only</w:t>
            </w:r>
          </w:p>
        </w:tc>
        <w:tc>
          <w:tcPr>
            <w:tcW w:w="417" w:type="pct"/>
            <w:tcBorders>
              <w:bottom w:val="single" w:sz="4" w:space="0" w:color="auto"/>
            </w:tcBorders>
            <w:shd w:val="clear" w:color="auto" w:fill="D9D9D9"/>
            <w:tcMar>
              <w:top w:w="28" w:type="dxa"/>
              <w:bottom w:w="28" w:type="dxa"/>
            </w:tcMar>
            <w:vAlign w:val="center"/>
          </w:tcPr>
          <w:p w14:paraId="475FBFC0" w14:textId="77777777" w:rsidR="00284C35" w:rsidRPr="00B5179A" w:rsidRDefault="00284C35" w:rsidP="00284C35">
            <w:pPr>
              <w:rPr>
                <w:rFonts w:ascii="Arial" w:hAnsi="Arial" w:cs="Arial"/>
              </w:rPr>
            </w:pPr>
          </w:p>
        </w:tc>
        <w:tc>
          <w:tcPr>
            <w:tcW w:w="418" w:type="pct"/>
            <w:tcBorders>
              <w:bottom w:val="single" w:sz="4" w:space="0" w:color="auto"/>
            </w:tcBorders>
            <w:shd w:val="clear" w:color="auto" w:fill="D9D9D9"/>
            <w:tcMar>
              <w:top w:w="28" w:type="dxa"/>
              <w:bottom w:w="28" w:type="dxa"/>
            </w:tcMar>
            <w:vAlign w:val="center"/>
          </w:tcPr>
          <w:p w14:paraId="3F4C01D7" w14:textId="77777777" w:rsidR="00284C35" w:rsidRPr="00B5179A" w:rsidRDefault="00284C35" w:rsidP="00284C35">
            <w:pPr>
              <w:rPr>
                <w:rFonts w:ascii="Arial" w:hAnsi="Arial" w:cs="Arial"/>
              </w:rPr>
            </w:pPr>
          </w:p>
        </w:tc>
        <w:tc>
          <w:tcPr>
            <w:tcW w:w="1247" w:type="pct"/>
            <w:tcBorders>
              <w:bottom w:val="single" w:sz="4" w:space="0" w:color="auto"/>
            </w:tcBorders>
            <w:shd w:val="clear" w:color="auto" w:fill="D9D9D9"/>
            <w:tcMar>
              <w:top w:w="28" w:type="dxa"/>
              <w:bottom w:w="28" w:type="dxa"/>
            </w:tcMar>
            <w:vAlign w:val="center"/>
          </w:tcPr>
          <w:p w14:paraId="61EF6DD2" w14:textId="77777777" w:rsidR="00284C35" w:rsidRPr="00B5179A" w:rsidRDefault="00284C35" w:rsidP="00284C35">
            <w:pPr>
              <w:rPr>
                <w:rFonts w:ascii="Arial" w:hAnsi="Arial" w:cs="Arial"/>
              </w:rPr>
            </w:pPr>
          </w:p>
        </w:tc>
      </w:tr>
      <w:tr w:rsidR="00284C35" w:rsidRPr="00B5179A" w14:paraId="1AE5D390" w14:textId="77777777" w:rsidTr="00B5179A">
        <w:trPr>
          <w:trHeight w:val="928"/>
        </w:trPr>
        <w:tc>
          <w:tcPr>
            <w:tcW w:w="371" w:type="pct"/>
            <w:tcMar>
              <w:top w:w="28" w:type="dxa"/>
              <w:bottom w:w="28" w:type="dxa"/>
            </w:tcMar>
            <w:vAlign w:val="center"/>
          </w:tcPr>
          <w:p w14:paraId="0A291E86" w14:textId="77777777" w:rsidR="00284C35" w:rsidRPr="00B5179A" w:rsidRDefault="00284C35" w:rsidP="00284C35">
            <w:pPr>
              <w:rPr>
                <w:rFonts w:ascii="Arial" w:hAnsi="Arial" w:cs="Arial"/>
                <w:b/>
              </w:rPr>
            </w:pPr>
            <w:r w:rsidRPr="00B5179A">
              <w:rPr>
                <w:rFonts w:ascii="Arial" w:hAnsi="Arial" w:cs="Arial"/>
                <w:b/>
              </w:rPr>
              <w:t>10a</w:t>
            </w:r>
          </w:p>
        </w:tc>
        <w:tc>
          <w:tcPr>
            <w:tcW w:w="2547" w:type="pct"/>
            <w:shd w:val="clear" w:color="auto" w:fill="auto"/>
            <w:tcMar>
              <w:top w:w="28" w:type="dxa"/>
              <w:bottom w:w="28" w:type="dxa"/>
            </w:tcMar>
            <w:vAlign w:val="center"/>
          </w:tcPr>
          <w:p w14:paraId="6684C348" w14:textId="77777777" w:rsidR="00284C35" w:rsidRPr="00B5179A" w:rsidRDefault="00284C35" w:rsidP="00284C35">
            <w:pPr>
              <w:rPr>
                <w:rFonts w:ascii="Arial" w:hAnsi="Arial" w:cs="Arial"/>
              </w:rPr>
            </w:pPr>
            <w:r w:rsidRPr="00B5179A">
              <w:rPr>
                <w:rFonts w:ascii="Arial" w:hAnsi="Arial" w:cs="Arial"/>
              </w:rPr>
              <w:t xml:space="preserve">Is there a discontinuation date or review date for tramadol clearly indicated on discharge prescription? </w:t>
            </w:r>
          </w:p>
        </w:tc>
        <w:tc>
          <w:tcPr>
            <w:tcW w:w="417" w:type="pct"/>
            <w:shd w:val="clear" w:color="auto" w:fill="auto"/>
            <w:tcMar>
              <w:top w:w="28" w:type="dxa"/>
              <w:bottom w:w="28" w:type="dxa"/>
            </w:tcMar>
            <w:vAlign w:val="center"/>
          </w:tcPr>
          <w:p w14:paraId="0E44A1BD" w14:textId="77777777" w:rsidR="00284C35" w:rsidRPr="00B5179A" w:rsidRDefault="00284C35" w:rsidP="00284C35">
            <w:pPr>
              <w:rPr>
                <w:rFonts w:ascii="Arial" w:hAnsi="Arial" w:cs="Arial"/>
              </w:rPr>
            </w:pPr>
          </w:p>
        </w:tc>
        <w:tc>
          <w:tcPr>
            <w:tcW w:w="418" w:type="pct"/>
            <w:shd w:val="clear" w:color="auto" w:fill="auto"/>
            <w:tcMar>
              <w:top w:w="28" w:type="dxa"/>
              <w:bottom w:w="28" w:type="dxa"/>
            </w:tcMar>
            <w:vAlign w:val="center"/>
          </w:tcPr>
          <w:p w14:paraId="79FD7772" w14:textId="77777777" w:rsidR="00284C35" w:rsidRPr="00B5179A" w:rsidRDefault="00284C35" w:rsidP="00284C35">
            <w:pPr>
              <w:rPr>
                <w:rFonts w:ascii="Arial" w:hAnsi="Arial" w:cs="Arial"/>
              </w:rPr>
            </w:pPr>
          </w:p>
        </w:tc>
        <w:tc>
          <w:tcPr>
            <w:tcW w:w="1247" w:type="pct"/>
            <w:shd w:val="clear" w:color="auto" w:fill="auto"/>
            <w:tcMar>
              <w:top w:w="28" w:type="dxa"/>
              <w:bottom w:w="28" w:type="dxa"/>
            </w:tcMar>
            <w:vAlign w:val="center"/>
          </w:tcPr>
          <w:p w14:paraId="0BDC3B91" w14:textId="77777777" w:rsidR="00284C35" w:rsidRPr="00B5179A" w:rsidRDefault="00284C35" w:rsidP="00284C35">
            <w:pPr>
              <w:rPr>
                <w:rFonts w:ascii="Arial" w:hAnsi="Arial" w:cs="Arial"/>
              </w:rPr>
            </w:pPr>
          </w:p>
        </w:tc>
      </w:tr>
      <w:tr w:rsidR="00284C35" w:rsidRPr="00B5179A" w14:paraId="02248D7E" w14:textId="77777777" w:rsidTr="00B5179A">
        <w:trPr>
          <w:trHeight w:val="597"/>
        </w:trPr>
        <w:tc>
          <w:tcPr>
            <w:tcW w:w="371" w:type="pct"/>
            <w:tcMar>
              <w:top w:w="28" w:type="dxa"/>
              <w:bottom w:w="28" w:type="dxa"/>
            </w:tcMar>
            <w:vAlign w:val="center"/>
          </w:tcPr>
          <w:p w14:paraId="7DF20364" w14:textId="77777777" w:rsidR="00284C35" w:rsidRPr="00B5179A" w:rsidRDefault="00284C35" w:rsidP="00284C35">
            <w:pPr>
              <w:rPr>
                <w:rFonts w:ascii="Arial" w:hAnsi="Arial" w:cs="Arial"/>
                <w:b/>
              </w:rPr>
            </w:pPr>
            <w:r w:rsidRPr="00B5179A">
              <w:rPr>
                <w:rFonts w:ascii="Arial" w:hAnsi="Arial" w:cs="Arial"/>
                <w:b/>
              </w:rPr>
              <w:t>10b</w:t>
            </w:r>
          </w:p>
        </w:tc>
        <w:tc>
          <w:tcPr>
            <w:tcW w:w="2547" w:type="pct"/>
            <w:shd w:val="clear" w:color="auto" w:fill="auto"/>
            <w:tcMar>
              <w:top w:w="28" w:type="dxa"/>
              <w:bottom w:w="28" w:type="dxa"/>
            </w:tcMar>
            <w:vAlign w:val="center"/>
          </w:tcPr>
          <w:p w14:paraId="4879097D" w14:textId="77777777" w:rsidR="00284C35" w:rsidRPr="00B5179A" w:rsidRDefault="00284C35" w:rsidP="00284C35">
            <w:pPr>
              <w:rPr>
                <w:rFonts w:ascii="Arial" w:hAnsi="Arial" w:cs="Arial"/>
              </w:rPr>
            </w:pPr>
            <w:r w:rsidRPr="00B5179A">
              <w:rPr>
                <w:rFonts w:ascii="Arial" w:hAnsi="Arial" w:cs="Arial"/>
              </w:rPr>
              <w:t>Does the duration of tramadol prescribed exceed one week?</w:t>
            </w:r>
          </w:p>
        </w:tc>
        <w:tc>
          <w:tcPr>
            <w:tcW w:w="417" w:type="pct"/>
            <w:shd w:val="clear" w:color="auto" w:fill="auto"/>
            <w:tcMar>
              <w:top w:w="28" w:type="dxa"/>
              <w:bottom w:w="28" w:type="dxa"/>
            </w:tcMar>
            <w:vAlign w:val="center"/>
          </w:tcPr>
          <w:p w14:paraId="666DEB7B" w14:textId="77777777" w:rsidR="00284C35" w:rsidRPr="00B5179A" w:rsidRDefault="00284C35" w:rsidP="00284C35">
            <w:pPr>
              <w:rPr>
                <w:rFonts w:ascii="Arial" w:hAnsi="Arial" w:cs="Arial"/>
              </w:rPr>
            </w:pPr>
          </w:p>
        </w:tc>
        <w:tc>
          <w:tcPr>
            <w:tcW w:w="418" w:type="pct"/>
            <w:shd w:val="clear" w:color="auto" w:fill="auto"/>
            <w:tcMar>
              <w:top w:w="28" w:type="dxa"/>
              <w:bottom w:w="28" w:type="dxa"/>
            </w:tcMar>
            <w:vAlign w:val="center"/>
          </w:tcPr>
          <w:p w14:paraId="21EFBD2E" w14:textId="77777777" w:rsidR="00284C35" w:rsidRPr="00B5179A" w:rsidRDefault="00284C35" w:rsidP="00284C35">
            <w:pPr>
              <w:rPr>
                <w:rFonts w:ascii="Arial" w:hAnsi="Arial" w:cs="Arial"/>
              </w:rPr>
            </w:pPr>
          </w:p>
        </w:tc>
        <w:tc>
          <w:tcPr>
            <w:tcW w:w="1247" w:type="pct"/>
            <w:shd w:val="clear" w:color="auto" w:fill="auto"/>
            <w:tcMar>
              <w:top w:w="28" w:type="dxa"/>
              <w:bottom w:w="28" w:type="dxa"/>
            </w:tcMar>
            <w:vAlign w:val="center"/>
          </w:tcPr>
          <w:p w14:paraId="05394BFB" w14:textId="77777777" w:rsidR="00284C35" w:rsidRPr="00B5179A" w:rsidRDefault="00284C35" w:rsidP="00284C35">
            <w:pPr>
              <w:rPr>
                <w:rFonts w:ascii="Arial" w:hAnsi="Arial" w:cs="Arial"/>
              </w:rPr>
            </w:pPr>
          </w:p>
        </w:tc>
      </w:tr>
    </w:tbl>
    <w:p w14:paraId="4F54BBD1" w14:textId="77777777" w:rsidR="00284C35" w:rsidRPr="000327DE" w:rsidRDefault="00284C35" w:rsidP="00284C35">
      <w:pPr>
        <w:rPr>
          <w:rFonts w:ascii="Arial" w:hAnsi="Arial" w:cs="Arial"/>
        </w:rPr>
      </w:pPr>
    </w:p>
    <w:p w14:paraId="66865168" w14:textId="7E153130" w:rsidR="00284C35" w:rsidRPr="00A86AC2" w:rsidRDefault="00284C35">
      <w:pPr>
        <w:rPr>
          <w:rFonts w:ascii="Arial" w:hAnsi="Arial"/>
          <w:noProof/>
          <w:sz w:val="22"/>
          <w:szCs w:val="20"/>
        </w:rPr>
      </w:pPr>
    </w:p>
    <w:sectPr w:rsidR="00284C35" w:rsidRPr="00A86AC2" w:rsidSect="000327DE">
      <w:headerReference w:type="even" r:id="rId11"/>
      <w:headerReference w:type="default" r:id="rId12"/>
      <w:footerReference w:type="even" r:id="rId13"/>
      <w:footerReference w:type="default" r:id="rId14"/>
      <w:pgSz w:w="11906" w:h="16838"/>
      <w:pgMar w:top="1134"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C66C" w14:textId="77777777" w:rsidR="00D32869" w:rsidRDefault="00D32869">
      <w:r>
        <w:separator/>
      </w:r>
    </w:p>
  </w:endnote>
  <w:endnote w:type="continuationSeparator" w:id="0">
    <w:p w14:paraId="6306B356" w14:textId="77777777" w:rsidR="00D32869" w:rsidRDefault="00D3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87292305"/>
      <w:docPartObj>
        <w:docPartGallery w:val="Page Numbers (Bottom of Page)"/>
        <w:docPartUnique/>
      </w:docPartObj>
    </w:sdtPr>
    <w:sdtEndPr>
      <w:rPr>
        <w:b/>
        <w:color w:val="09396D"/>
        <w:sz w:val="20"/>
        <w:szCs w:val="20"/>
      </w:rPr>
    </w:sdtEndPr>
    <w:sdtContent>
      <w:sdt>
        <w:sdtPr>
          <w:rPr>
            <w:rFonts w:ascii="Arial" w:hAnsi="Arial" w:cs="Arial"/>
            <w:b/>
            <w:color w:val="09396D"/>
            <w:sz w:val="20"/>
            <w:szCs w:val="20"/>
          </w:rPr>
          <w:id w:val="-655218742"/>
          <w:docPartObj>
            <w:docPartGallery w:val="Page Numbers (Top of Page)"/>
            <w:docPartUnique/>
          </w:docPartObj>
        </w:sdtPr>
        <w:sdtEndPr/>
        <w:sdtContent>
          <w:p w14:paraId="36FB368F" w14:textId="4CD48895" w:rsidR="00DA29E0" w:rsidRPr="00DA29E0" w:rsidRDefault="00DA29E0">
            <w:pPr>
              <w:pStyle w:val="Footer"/>
              <w:rPr>
                <w:rFonts w:ascii="Arial" w:hAnsi="Arial" w:cs="Arial"/>
                <w:b/>
                <w:color w:val="09396D"/>
                <w:sz w:val="20"/>
                <w:szCs w:val="20"/>
              </w:rPr>
            </w:pPr>
            <w:r w:rsidRPr="00491822">
              <w:rPr>
                <w:rFonts w:ascii="Arial" w:hAnsi="Arial" w:cs="Arial"/>
                <w:b/>
                <w:color w:val="09396D"/>
                <w:sz w:val="20"/>
                <w:szCs w:val="20"/>
              </w:rPr>
              <w:t xml:space="preserve">Page </w:t>
            </w:r>
            <w:r w:rsidRPr="00491822">
              <w:rPr>
                <w:rFonts w:ascii="Arial" w:hAnsi="Arial" w:cs="Arial"/>
                <w:b/>
                <w:bCs/>
                <w:color w:val="09396D"/>
                <w:sz w:val="20"/>
                <w:szCs w:val="20"/>
              </w:rPr>
              <w:fldChar w:fldCharType="begin"/>
            </w:r>
            <w:r w:rsidRPr="00491822">
              <w:rPr>
                <w:rFonts w:ascii="Arial" w:hAnsi="Arial" w:cs="Arial"/>
                <w:b/>
                <w:bCs/>
                <w:color w:val="09396D"/>
                <w:sz w:val="20"/>
                <w:szCs w:val="20"/>
              </w:rPr>
              <w:instrText xml:space="preserve"> PAGE </w:instrText>
            </w:r>
            <w:r w:rsidRPr="00491822">
              <w:rPr>
                <w:rFonts w:ascii="Arial" w:hAnsi="Arial" w:cs="Arial"/>
                <w:b/>
                <w:bCs/>
                <w:color w:val="09396D"/>
                <w:sz w:val="20"/>
                <w:szCs w:val="20"/>
              </w:rPr>
              <w:fldChar w:fldCharType="separate"/>
            </w:r>
            <w:r>
              <w:rPr>
                <w:rFonts w:ascii="Arial" w:hAnsi="Arial" w:cs="Arial"/>
                <w:b/>
                <w:bCs/>
                <w:color w:val="09396D"/>
                <w:sz w:val="20"/>
                <w:szCs w:val="20"/>
              </w:rPr>
              <w:t>2</w:t>
            </w:r>
            <w:r w:rsidRPr="00491822">
              <w:rPr>
                <w:rFonts w:ascii="Arial" w:hAnsi="Arial" w:cs="Arial"/>
                <w:b/>
                <w:bCs/>
                <w:color w:val="09396D"/>
                <w:sz w:val="20"/>
                <w:szCs w:val="20"/>
              </w:rPr>
              <w:fldChar w:fldCharType="end"/>
            </w:r>
            <w:r w:rsidRPr="00491822">
              <w:rPr>
                <w:rFonts w:ascii="Arial" w:hAnsi="Arial" w:cs="Arial"/>
                <w:b/>
                <w:color w:val="09396D"/>
                <w:sz w:val="20"/>
                <w:szCs w:val="20"/>
              </w:rPr>
              <w:t xml:space="preserve"> of </w:t>
            </w:r>
            <w:r w:rsidRPr="00491822">
              <w:rPr>
                <w:rFonts w:ascii="Arial" w:hAnsi="Arial" w:cs="Arial"/>
                <w:b/>
                <w:bCs/>
                <w:color w:val="09396D"/>
                <w:sz w:val="20"/>
                <w:szCs w:val="20"/>
              </w:rPr>
              <w:fldChar w:fldCharType="begin"/>
            </w:r>
            <w:r w:rsidRPr="00491822">
              <w:rPr>
                <w:rFonts w:ascii="Arial" w:hAnsi="Arial" w:cs="Arial"/>
                <w:b/>
                <w:bCs/>
                <w:color w:val="09396D"/>
                <w:sz w:val="20"/>
                <w:szCs w:val="20"/>
              </w:rPr>
              <w:instrText xml:space="preserve"> NUMPAGES  </w:instrText>
            </w:r>
            <w:r w:rsidRPr="00491822">
              <w:rPr>
                <w:rFonts w:ascii="Arial" w:hAnsi="Arial" w:cs="Arial"/>
                <w:b/>
                <w:bCs/>
                <w:color w:val="09396D"/>
                <w:sz w:val="20"/>
                <w:szCs w:val="20"/>
              </w:rPr>
              <w:fldChar w:fldCharType="separate"/>
            </w:r>
            <w:r>
              <w:rPr>
                <w:rFonts w:ascii="Arial" w:hAnsi="Arial" w:cs="Arial"/>
                <w:b/>
                <w:bCs/>
                <w:color w:val="09396D"/>
                <w:sz w:val="20"/>
                <w:szCs w:val="20"/>
              </w:rPr>
              <w:t>39</w:t>
            </w:r>
            <w:r w:rsidRPr="00491822">
              <w:rPr>
                <w:rFonts w:ascii="Arial" w:hAnsi="Arial" w:cs="Arial"/>
                <w:b/>
                <w:bCs/>
                <w:color w:val="09396D"/>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9396D"/>
        <w:sz w:val="20"/>
        <w:szCs w:val="20"/>
      </w:rPr>
      <w:id w:val="-1769616900"/>
      <w:docPartObj>
        <w:docPartGallery w:val="Page Numbers (Top of Page)"/>
        <w:docPartUnique/>
      </w:docPartObj>
    </w:sdtPr>
    <w:sdtEndPr/>
    <w:sdtContent>
      <w:p w14:paraId="79A323C9" w14:textId="7F557204" w:rsidR="00DA29E0" w:rsidRPr="00DA29E0" w:rsidRDefault="00DA29E0" w:rsidP="00DA29E0">
        <w:pPr>
          <w:pStyle w:val="Footer"/>
          <w:jc w:val="right"/>
          <w:rPr>
            <w:rFonts w:ascii="Arial" w:hAnsi="Arial" w:cs="Arial"/>
            <w:b/>
            <w:color w:val="09396D"/>
            <w:sz w:val="20"/>
            <w:szCs w:val="20"/>
          </w:rPr>
        </w:pPr>
        <w:r w:rsidRPr="00491822">
          <w:rPr>
            <w:rFonts w:ascii="Arial" w:hAnsi="Arial" w:cs="Arial"/>
            <w:b/>
            <w:color w:val="09396D"/>
            <w:sz w:val="20"/>
            <w:szCs w:val="20"/>
          </w:rPr>
          <w:t xml:space="preserve">Page </w:t>
        </w:r>
        <w:r w:rsidRPr="00491822">
          <w:rPr>
            <w:rFonts w:ascii="Arial" w:hAnsi="Arial" w:cs="Arial"/>
            <w:b/>
            <w:bCs/>
            <w:color w:val="09396D"/>
            <w:sz w:val="20"/>
            <w:szCs w:val="20"/>
          </w:rPr>
          <w:fldChar w:fldCharType="begin"/>
        </w:r>
        <w:r w:rsidRPr="00491822">
          <w:rPr>
            <w:rFonts w:ascii="Arial" w:hAnsi="Arial" w:cs="Arial"/>
            <w:b/>
            <w:bCs/>
            <w:color w:val="09396D"/>
            <w:sz w:val="20"/>
            <w:szCs w:val="20"/>
          </w:rPr>
          <w:instrText xml:space="preserve"> PAGE </w:instrText>
        </w:r>
        <w:r w:rsidRPr="00491822">
          <w:rPr>
            <w:rFonts w:ascii="Arial" w:hAnsi="Arial" w:cs="Arial"/>
            <w:b/>
            <w:bCs/>
            <w:color w:val="09396D"/>
            <w:sz w:val="20"/>
            <w:szCs w:val="20"/>
          </w:rPr>
          <w:fldChar w:fldCharType="separate"/>
        </w:r>
        <w:r>
          <w:rPr>
            <w:rFonts w:ascii="Arial" w:hAnsi="Arial" w:cs="Arial"/>
            <w:b/>
            <w:bCs/>
            <w:color w:val="09396D"/>
            <w:sz w:val="20"/>
            <w:szCs w:val="20"/>
          </w:rPr>
          <w:t>1</w:t>
        </w:r>
        <w:r w:rsidRPr="00491822">
          <w:rPr>
            <w:rFonts w:ascii="Arial" w:hAnsi="Arial" w:cs="Arial"/>
            <w:b/>
            <w:bCs/>
            <w:color w:val="09396D"/>
            <w:sz w:val="20"/>
            <w:szCs w:val="20"/>
          </w:rPr>
          <w:fldChar w:fldCharType="end"/>
        </w:r>
        <w:r w:rsidRPr="00491822">
          <w:rPr>
            <w:rFonts w:ascii="Arial" w:hAnsi="Arial" w:cs="Arial"/>
            <w:b/>
            <w:color w:val="09396D"/>
            <w:sz w:val="20"/>
            <w:szCs w:val="20"/>
          </w:rPr>
          <w:t xml:space="preserve"> of </w:t>
        </w:r>
        <w:r w:rsidRPr="00491822">
          <w:rPr>
            <w:rFonts w:ascii="Arial" w:hAnsi="Arial" w:cs="Arial"/>
            <w:b/>
            <w:bCs/>
            <w:color w:val="09396D"/>
            <w:sz w:val="20"/>
            <w:szCs w:val="20"/>
          </w:rPr>
          <w:fldChar w:fldCharType="begin"/>
        </w:r>
        <w:r w:rsidRPr="00491822">
          <w:rPr>
            <w:rFonts w:ascii="Arial" w:hAnsi="Arial" w:cs="Arial"/>
            <w:b/>
            <w:bCs/>
            <w:color w:val="09396D"/>
            <w:sz w:val="20"/>
            <w:szCs w:val="20"/>
          </w:rPr>
          <w:instrText xml:space="preserve"> NUMPAGES  </w:instrText>
        </w:r>
        <w:r w:rsidRPr="00491822">
          <w:rPr>
            <w:rFonts w:ascii="Arial" w:hAnsi="Arial" w:cs="Arial"/>
            <w:b/>
            <w:bCs/>
            <w:color w:val="09396D"/>
            <w:sz w:val="20"/>
            <w:szCs w:val="20"/>
          </w:rPr>
          <w:fldChar w:fldCharType="separate"/>
        </w:r>
        <w:r>
          <w:rPr>
            <w:rFonts w:ascii="Arial" w:hAnsi="Arial" w:cs="Arial"/>
            <w:b/>
            <w:bCs/>
            <w:color w:val="09396D"/>
            <w:sz w:val="20"/>
            <w:szCs w:val="20"/>
          </w:rPr>
          <w:t>39</w:t>
        </w:r>
        <w:r w:rsidRPr="00491822">
          <w:rPr>
            <w:rFonts w:ascii="Arial" w:hAnsi="Arial" w:cs="Arial"/>
            <w:b/>
            <w:bCs/>
            <w:color w:val="09396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9F2B" w14:textId="77777777" w:rsidR="00D32869" w:rsidRDefault="00D32869">
      <w:r>
        <w:separator/>
      </w:r>
    </w:p>
  </w:footnote>
  <w:footnote w:type="continuationSeparator" w:id="0">
    <w:p w14:paraId="1C1DD3E2" w14:textId="77777777" w:rsidR="00D32869" w:rsidRDefault="00D3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75BE" w14:textId="2A39A7A9" w:rsidR="00DA29E0" w:rsidRPr="00DA29E0" w:rsidRDefault="00DA29E0">
    <w:pPr>
      <w:pStyle w:val="Header"/>
      <w:rPr>
        <w:rFonts w:ascii="Arial" w:hAnsi="Arial" w:cs="Arial"/>
        <w:b/>
        <w:color w:val="C00000"/>
        <w:sz w:val="22"/>
        <w:szCs w:val="22"/>
      </w:rPr>
    </w:pPr>
    <w:r w:rsidRPr="00491822">
      <w:rPr>
        <w:rFonts w:ascii="Arial" w:hAnsi="Arial" w:cs="Arial"/>
        <w:b/>
        <w:color w:val="C00000"/>
      </w:rPr>
      <w:t>All Wales Medicines Strategy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6A8B" w14:textId="29B1C6F1" w:rsidR="00DA29E0" w:rsidRPr="00DA29E0" w:rsidRDefault="00DA29E0" w:rsidP="00DA29E0">
    <w:pPr>
      <w:pStyle w:val="Header"/>
      <w:jc w:val="right"/>
      <w:rPr>
        <w:rFonts w:ascii="Arial" w:hAnsi="Arial" w:cs="Arial"/>
        <w:b/>
        <w:color w:val="09396D"/>
      </w:rPr>
    </w:pPr>
    <w:bookmarkStart w:id="8" w:name="_Hlk86047912"/>
    <w:bookmarkStart w:id="9" w:name="_Hlk86047913"/>
    <w:bookmarkStart w:id="10" w:name="_Hlk86047916"/>
    <w:bookmarkStart w:id="11" w:name="_Hlk86047917"/>
    <w:r w:rsidRPr="00491822">
      <w:rPr>
        <w:rFonts w:ascii="Arial" w:hAnsi="Arial" w:cs="Arial"/>
        <w:b/>
        <w:color w:val="09396D"/>
      </w:rPr>
      <w:t>Tramadol Educational Resources: Review 2021</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07"/>
    <w:multiLevelType w:val="hybridMultilevel"/>
    <w:tmpl w:val="2C088A6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3740E"/>
    <w:multiLevelType w:val="hybridMultilevel"/>
    <w:tmpl w:val="26F61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77FC1"/>
    <w:multiLevelType w:val="multilevel"/>
    <w:tmpl w:val="B33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43107"/>
    <w:multiLevelType w:val="hybridMultilevel"/>
    <w:tmpl w:val="45BE1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FA6C6B"/>
    <w:multiLevelType w:val="hybridMultilevel"/>
    <w:tmpl w:val="46FCBC9C"/>
    <w:lvl w:ilvl="0" w:tplc="C1A08FF6">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803FF"/>
    <w:multiLevelType w:val="hybridMultilevel"/>
    <w:tmpl w:val="13367824"/>
    <w:lvl w:ilvl="0" w:tplc="C1A08FF6">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8D5"/>
    <w:multiLevelType w:val="hybridMultilevel"/>
    <w:tmpl w:val="2A9C2B36"/>
    <w:lvl w:ilvl="0" w:tplc="278C88FA">
      <w:start w:val="1"/>
      <w:numFmt w:val="bullet"/>
      <w:lvlText w:val=""/>
      <w:lvlJc w:val="left"/>
      <w:pPr>
        <w:tabs>
          <w:tab w:val="num" w:pos="785"/>
        </w:tabs>
        <w:ind w:left="785"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C20FCA"/>
    <w:multiLevelType w:val="multilevel"/>
    <w:tmpl w:val="E97CF36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F0708"/>
    <w:multiLevelType w:val="hybridMultilevel"/>
    <w:tmpl w:val="D3363E24"/>
    <w:lvl w:ilvl="0" w:tplc="7A2419E0">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E6D44"/>
    <w:multiLevelType w:val="hybridMultilevel"/>
    <w:tmpl w:val="1820C7A0"/>
    <w:lvl w:ilvl="0" w:tplc="1E3686E8">
      <w:start w:val="1"/>
      <w:numFmt w:val="bullet"/>
      <w:lvlText w:val=""/>
      <w:lvlJc w:val="left"/>
      <w:pPr>
        <w:tabs>
          <w:tab w:val="num" w:pos="1031"/>
        </w:tabs>
        <w:ind w:left="1031" w:hanging="18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724F9"/>
    <w:multiLevelType w:val="hybridMultilevel"/>
    <w:tmpl w:val="382A1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4035D"/>
    <w:multiLevelType w:val="hybridMultilevel"/>
    <w:tmpl w:val="6262C11A"/>
    <w:lvl w:ilvl="0" w:tplc="08090003">
      <w:start w:val="1"/>
      <w:numFmt w:val="bullet"/>
      <w:lvlText w:val="o"/>
      <w:lvlJc w:val="left"/>
      <w:pPr>
        <w:tabs>
          <w:tab w:val="num" w:pos="1194"/>
        </w:tabs>
        <w:ind w:left="1194" w:hanging="283"/>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B4C713D"/>
    <w:multiLevelType w:val="hybridMultilevel"/>
    <w:tmpl w:val="2598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C2D4D"/>
    <w:multiLevelType w:val="hybridMultilevel"/>
    <w:tmpl w:val="5D200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328C6"/>
    <w:multiLevelType w:val="hybridMultilevel"/>
    <w:tmpl w:val="D3223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12C8C"/>
    <w:multiLevelType w:val="hybridMultilevel"/>
    <w:tmpl w:val="8550F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57F6C"/>
    <w:multiLevelType w:val="hybridMultilevel"/>
    <w:tmpl w:val="BF64FF2A"/>
    <w:lvl w:ilvl="0" w:tplc="4356CA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B551105"/>
    <w:multiLevelType w:val="hybridMultilevel"/>
    <w:tmpl w:val="394C7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45DB1"/>
    <w:multiLevelType w:val="hybridMultilevel"/>
    <w:tmpl w:val="26C0F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D6558C"/>
    <w:multiLevelType w:val="hybridMultilevel"/>
    <w:tmpl w:val="591A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77973"/>
    <w:multiLevelType w:val="hybridMultilevel"/>
    <w:tmpl w:val="22FEC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07232"/>
    <w:multiLevelType w:val="hybridMultilevel"/>
    <w:tmpl w:val="6894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A2ACC"/>
    <w:multiLevelType w:val="hybridMultilevel"/>
    <w:tmpl w:val="3BBE3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26D52"/>
    <w:multiLevelType w:val="hybridMultilevel"/>
    <w:tmpl w:val="400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3433C"/>
    <w:multiLevelType w:val="hybridMultilevel"/>
    <w:tmpl w:val="16A6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23218"/>
    <w:multiLevelType w:val="hybridMultilevel"/>
    <w:tmpl w:val="DAB87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E636D"/>
    <w:multiLevelType w:val="hybridMultilevel"/>
    <w:tmpl w:val="C4E40F6E"/>
    <w:lvl w:ilvl="0" w:tplc="53FED30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C55DD0"/>
    <w:multiLevelType w:val="hybridMultilevel"/>
    <w:tmpl w:val="6FD23B6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B135136"/>
    <w:multiLevelType w:val="hybridMultilevel"/>
    <w:tmpl w:val="A6BA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901DE"/>
    <w:multiLevelType w:val="hybridMultilevel"/>
    <w:tmpl w:val="BDF62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D402D"/>
    <w:multiLevelType w:val="hybridMultilevel"/>
    <w:tmpl w:val="631A5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211B5"/>
    <w:multiLevelType w:val="hybridMultilevel"/>
    <w:tmpl w:val="14820808"/>
    <w:lvl w:ilvl="0" w:tplc="08090001">
      <w:start w:val="1"/>
      <w:numFmt w:val="bullet"/>
      <w:lvlText w:val=""/>
      <w:lvlJc w:val="left"/>
      <w:pPr>
        <w:tabs>
          <w:tab w:val="num" w:pos="720"/>
        </w:tabs>
        <w:ind w:left="720" w:hanging="360"/>
      </w:pPr>
      <w:rPr>
        <w:rFonts w:ascii="Symbol" w:hAnsi="Symbol" w:hint="default"/>
      </w:rPr>
    </w:lvl>
    <w:lvl w:ilvl="1" w:tplc="2054ACD0">
      <w:start w:val="1"/>
      <w:numFmt w:val="bullet"/>
      <w:lvlText w:val="-"/>
      <w:lvlJc w:val="left"/>
      <w:pPr>
        <w:tabs>
          <w:tab w:val="num" w:pos="1363"/>
        </w:tabs>
        <w:ind w:left="1363" w:hanging="283"/>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E735E"/>
    <w:multiLevelType w:val="hybridMultilevel"/>
    <w:tmpl w:val="4E14BFFE"/>
    <w:lvl w:ilvl="0" w:tplc="2054ACD0">
      <w:start w:val="1"/>
      <w:numFmt w:val="bullet"/>
      <w:lvlText w:val="-"/>
      <w:lvlJc w:val="left"/>
      <w:pPr>
        <w:tabs>
          <w:tab w:val="num" w:pos="1194"/>
        </w:tabs>
        <w:ind w:left="1194" w:hanging="283"/>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B1F0717"/>
    <w:multiLevelType w:val="multilevel"/>
    <w:tmpl w:val="CBD2E9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97FC5"/>
    <w:multiLevelType w:val="hybridMultilevel"/>
    <w:tmpl w:val="E9A4CDF2"/>
    <w:lvl w:ilvl="0" w:tplc="C1A08FF6">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D33AC"/>
    <w:multiLevelType w:val="hybridMultilevel"/>
    <w:tmpl w:val="002AA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752517"/>
    <w:multiLevelType w:val="hybridMultilevel"/>
    <w:tmpl w:val="5D18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70254"/>
    <w:multiLevelType w:val="hybridMultilevel"/>
    <w:tmpl w:val="F5E86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E0485"/>
    <w:multiLevelType w:val="hybridMultilevel"/>
    <w:tmpl w:val="393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82181"/>
    <w:multiLevelType w:val="hybridMultilevel"/>
    <w:tmpl w:val="27A43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E53A8"/>
    <w:multiLevelType w:val="hybridMultilevel"/>
    <w:tmpl w:val="1D0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55B24"/>
    <w:multiLevelType w:val="hybridMultilevel"/>
    <w:tmpl w:val="5AD648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363"/>
        </w:tabs>
        <w:ind w:left="1363" w:hanging="283"/>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E4778"/>
    <w:multiLevelType w:val="multilevel"/>
    <w:tmpl w:val="F46EE2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C6377"/>
    <w:multiLevelType w:val="hybridMultilevel"/>
    <w:tmpl w:val="2A44B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363"/>
        </w:tabs>
        <w:ind w:left="1363" w:hanging="283"/>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35135"/>
    <w:multiLevelType w:val="hybridMultilevel"/>
    <w:tmpl w:val="2838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8446C"/>
    <w:multiLevelType w:val="hybridMultilevel"/>
    <w:tmpl w:val="493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25"/>
  </w:num>
  <w:num w:numId="5">
    <w:abstractNumId w:val="8"/>
  </w:num>
  <w:num w:numId="6">
    <w:abstractNumId w:val="27"/>
  </w:num>
  <w:num w:numId="7">
    <w:abstractNumId w:val="20"/>
  </w:num>
  <w:num w:numId="8">
    <w:abstractNumId w:val="13"/>
  </w:num>
  <w:num w:numId="9">
    <w:abstractNumId w:val="26"/>
  </w:num>
  <w:num w:numId="10">
    <w:abstractNumId w:val="16"/>
  </w:num>
  <w:num w:numId="11">
    <w:abstractNumId w:val="31"/>
  </w:num>
  <w:num w:numId="12">
    <w:abstractNumId w:val="39"/>
  </w:num>
  <w:num w:numId="13">
    <w:abstractNumId w:val="29"/>
  </w:num>
  <w:num w:numId="14">
    <w:abstractNumId w:val="14"/>
  </w:num>
  <w:num w:numId="15">
    <w:abstractNumId w:val="37"/>
  </w:num>
  <w:num w:numId="16">
    <w:abstractNumId w:val="10"/>
  </w:num>
  <w:num w:numId="17">
    <w:abstractNumId w:val="35"/>
  </w:num>
  <w:num w:numId="18">
    <w:abstractNumId w:val="1"/>
  </w:num>
  <w:num w:numId="19">
    <w:abstractNumId w:val="9"/>
  </w:num>
  <w:num w:numId="20">
    <w:abstractNumId w:val="43"/>
  </w:num>
  <w:num w:numId="21">
    <w:abstractNumId w:val="15"/>
  </w:num>
  <w:num w:numId="22">
    <w:abstractNumId w:val="30"/>
  </w:num>
  <w:num w:numId="23">
    <w:abstractNumId w:val="32"/>
  </w:num>
  <w:num w:numId="24">
    <w:abstractNumId w:val="21"/>
  </w:num>
  <w:num w:numId="25">
    <w:abstractNumId w:val="2"/>
  </w:num>
  <w:num w:numId="26">
    <w:abstractNumId w:val="3"/>
  </w:num>
  <w:num w:numId="27">
    <w:abstractNumId w:val="6"/>
  </w:num>
  <w:num w:numId="28">
    <w:abstractNumId w:val="19"/>
  </w:num>
  <w:num w:numId="29">
    <w:abstractNumId w:val="5"/>
  </w:num>
  <w:num w:numId="30">
    <w:abstractNumId w:val="4"/>
  </w:num>
  <w:num w:numId="31">
    <w:abstractNumId w:val="34"/>
  </w:num>
  <w:num w:numId="32">
    <w:abstractNumId w:val="38"/>
  </w:num>
  <w:num w:numId="33">
    <w:abstractNumId w:val="28"/>
  </w:num>
  <w:num w:numId="34">
    <w:abstractNumId w:val="12"/>
  </w:num>
  <w:num w:numId="35">
    <w:abstractNumId w:val="33"/>
  </w:num>
  <w:num w:numId="36">
    <w:abstractNumId w:val="45"/>
  </w:num>
  <w:num w:numId="37">
    <w:abstractNumId w:val="23"/>
  </w:num>
  <w:num w:numId="38">
    <w:abstractNumId w:val="24"/>
  </w:num>
  <w:num w:numId="39">
    <w:abstractNumId w:val="36"/>
  </w:num>
  <w:num w:numId="40">
    <w:abstractNumId w:val="40"/>
  </w:num>
  <w:num w:numId="41">
    <w:abstractNumId w:val="18"/>
  </w:num>
  <w:num w:numId="42">
    <w:abstractNumId w:val="42"/>
  </w:num>
  <w:num w:numId="43">
    <w:abstractNumId w:val="7"/>
  </w:num>
  <w:num w:numId="44">
    <w:abstractNumId w:val="44"/>
  </w:num>
  <w:num w:numId="45">
    <w:abstractNumId w:val="41"/>
  </w:num>
  <w:num w:numId="4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characterSpacingControl w:val="doNotCompress"/>
  <w:hdrShapeDefaults>
    <o:shapedefaults v:ext="edit" spidmax="99329">
      <o:colormru v:ext="edit" colors="#09396d,#e0e0e0,#f2dc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M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zewtdrn9e226ep2zrpvwwdwt20s9d20ase&quot;&gt;Tramadol educational resources&lt;record-ids&gt;&lt;item&gt;44&lt;/item&gt;&lt;item&gt;47&lt;/item&gt;&lt;item&gt;65&lt;/item&gt;&lt;item&gt;70&lt;/item&gt;&lt;item&gt;83&lt;/item&gt;&lt;item&gt;84&lt;/item&gt;&lt;item&gt;85&lt;/item&gt;&lt;item&gt;86&lt;/item&gt;&lt;item&gt;87&lt;/item&gt;&lt;item&gt;89&lt;/item&gt;&lt;item&gt;90&lt;/item&gt;&lt;item&gt;92&lt;/item&gt;&lt;item&gt;93&lt;/item&gt;&lt;item&gt;94&lt;/item&gt;&lt;item&gt;95&lt;/item&gt;&lt;item&gt;96&lt;/item&gt;&lt;item&gt;97&lt;/item&gt;&lt;item&gt;98&lt;/item&gt;&lt;/record-ids&gt;&lt;/item&gt;&lt;/Libraries&gt;"/>
    <w:docVar w:name="REFMGR.InstantFormat" w:val="&lt;InstantFormat&gt;&lt;Enabled&gt;1&lt;/Enabled&gt;&lt;ScanUnformatted&gt;1&lt;/ScanUnformatted&gt;&lt;ScanChanges&gt;1&lt;/ScanChanges&gt;&lt;/InstantFormat&gt;"/>
    <w:docVar w:name="REFMGR.Layout" w:val="&lt;Layout&gt;&lt;StartingRefnum&gt;S:\RefMan\Database\WMP\WMP.os&lt;/StartingRefnum&gt;&lt;FontName&gt;Arial&lt;/FontName&gt;&lt;FontSize&gt;11&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Tramadol&lt;/item&gt;&lt;/Libraries&gt;&lt;/Databases&gt;"/>
  </w:docVars>
  <w:rsids>
    <w:rsidRoot w:val="002674C6"/>
    <w:rsid w:val="00002EE0"/>
    <w:rsid w:val="000047A6"/>
    <w:rsid w:val="00004AE3"/>
    <w:rsid w:val="00004B8A"/>
    <w:rsid w:val="000068BE"/>
    <w:rsid w:val="00013D57"/>
    <w:rsid w:val="000140F9"/>
    <w:rsid w:val="00015075"/>
    <w:rsid w:val="000163D5"/>
    <w:rsid w:val="00021CED"/>
    <w:rsid w:val="0002543F"/>
    <w:rsid w:val="0002737F"/>
    <w:rsid w:val="000327DE"/>
    <w:rsid w:val="00033C40"/>
    <w:rsid w:val="0003421B"/>
    <w:rsid w:val="00035B9B"/>
    <w:rsid w:val="00036AF9"/>
    <w:rsid w:val="00037154"/>
    <w:rsid w:val="00041F3F"/>
    <w:rsid w:val="00043326"/>
    <w:rsid w:val="0004584D"/>
    <w:rsid w:val="000511E7"/>
    <w:rsid w:val="000512ED"/>
    <w:rsid w:val="000522C4"/>
    <w:rsid w:val="00055BB8"/>
    <w:rsid w:val="00055BE7"/>
    <w:rsid w:val="00055D9B"/>
    <w:rsid w:val="00056E52"/>
    <w:rsid w:val="0006084F"/>
    <w:rsid w:val="000632FE"/>
    <w:rsid w:val="00063B4D"/>
    <w:rsid w:val="00064C09"/>
    <w:rsid w:val="00067FE2"/>
    <w:rsid w:val="0007199D"/>
    <w:rsid w:val="00071EB1"/>
    <w:rsid w:val="00072C36"/>
    <w:rsid w:val="000749E3"/>
    <w:rsid w:val="0007658F"/>
    <w:rsid w:val="00077559"/>
    <w:rsid w:val="00077E0E"/>
    <w:rsid w:val="00083CC4"/>
    <w:rsid w:val="000878FA"/>
    <w:rsid w:val="000904FD"/>
    <w:rsid w:val="00090769"/>
    <w:rsid w:val="000918C7"/>
    <w:rsid w:val="00091A9C"/>
    <w:rsid w:val="000946A4"/>
    <w:rsid w:val="00094A02"/>
    <w:rsid w:val="0009557E"/>
    <w:rsid w:val="000968AF"/>
    <w:rsid w:val="000969B5"/>
    <w:rsid w:val="000979EC"/>
    <w:rsid w:val="000A05D3"/>
    <w:rsid w:val="000A272D"/>
    <w:rsid w:val="000A2AB9"/>
    <w:rsid w:val="000A5151"/>
    <w:rsid w:val="000A592B"/>
    <w:rsid w:val="000A640D"/>
    <w:rsid w:val="000A6504"/>
    <w:rsid w:val="000A6691"/>
    <w:rsid w:val="000A6A8F"/>
    <w:rsid w:val="000B0CC7"/>
    <w:rsid w:val="000B3A9A"/>
    <w:rsid w:val="000B6815"/>
    <w:rsid w:val="000B7894"/>
    <w:rsid w:val="000C02E1"/>
    <w:rsid w:val="000C4073"/>
    <w:rsid w:val="000C5440"/>
    <w:rsid w:val="000C6E47"/>
    <w:rsid w:val="000D1144"/>
    <w:rsid w:val="000D656D"/>
    <w:rsid w:val="000E1F33"/>
    <w:rsid w:val="000E4C49"/>
    <w:rsid w:val="000E69FC"/>
    <w:rsid w:val="000E7B15"/>
    <w:rsid w:val="000F0690"/>
    <w:rsid w:val="000F1059"/>
    <w:rsid w:val="000F2508"/>
    <w:rsid w:val="000F39B4"/>
    <w:rsid w:val="000F4E8B"/>
    <w:rsid w:val="000F5801"/>
    <w:rsid w:val="000F66EE"/>
    <w:rsid w:val="00101458"/>
    <w:rsid w:val="001019FC"/>
    <w:rsid w:val="00106C0D"/>
    <w:rsid w:val="00107143"/>
    <w:rsid w:val="0010737E"/>
    <w:rsid w:val="001108DB"/>
    <w:rsid w:val="00110976"/>
    <w:rsid w:val="00113F4C"/>
    <w:rsid w:val="001140B2"/>
    <w:rsid w:val="00114A0D"/>
    <w:rsid w:val="00120099"/>
    <w:rsid w:val="00120AFB"/>
    <w:rsid w:val="001224E0"/>
    <w:rsid w:val="001233ED"/>
    <w:rsid w:val="00123DCE"/>
    <w:rsid w:val="00124B47"/>
    <w:rsid w:val="00125B99"/>
    <w:rsid w:val="0012607C"/>
    <w:rsid w:val="00126981"/>
    <w:rsid w:val="0012705F"/>
    <w:rsid w:val="00131517"/>
    <w:rsid w:val="0013580D"/>
    <w:rsid w:val="00136979"/>
    <w:rsid w:val="001374B6"/>
    <w:rsid w:val="0014132A"/>
    <w:rsid w:val="00145A8B"/>
    <w:rsid w:val="00147D6A"/>
    <w:rsid w:val="00147DB2"/>
    <w:rsid w:val="00151353"/>
    <w:rsid w:val="00152CD9"/>
    <w:rsid w:val="00153CCB"/>
    <w:rsid w:val="00156CB6"/>
    <w:rsid w:val="00161D4D"/>
    <w:rsid w:val="0016358C"/>
    <w:rsid w:val="00164D74"/>
    <w:rsid w:val="0016617A"/>
    <w:rsid w:val="00167403"/>
    <w:rsid w:val="00170F2B"/>
    <w:rsid w:val="001723BD"/>
    <w:rsid w:val="00172F0D"/>
    <w:rsid w:val="001753B3"/>
    <w:rsid w:val="00181FE5"/>
    <w:rsid w:val="00182682"/>
    <w:rsid w:val="00182BD2"/>
    <w:rsid w:val="001831A7"/>
    <w:rsid w:val="00183282"/>
    <w:rsid w:val="00183A61"/>
    <w:rsid w:val="0018422B"/>
    <w:rsid w:val="00185A07"/>
    <w:rsid w:val="00185E05"/>
    <w:rsid w:val="001861F0"/>
    <w:rsid w:val="0018743C"/>
    <w:rsid w:val="0019011C"/>
    <w:rsid w:val="00190CFF"/>
    <w:rsid w:val="00191EEA"/>
    <w:rsid w:val="00192750"/>
    <w:rsid w:val="00192E13"/>
    <w:rsid w:val="001942FC"/>
    <w:rsid w:val="001963B3"/>
    <w:rsid w:val="00197527"/>
    <w:rsid w:val="00197D12"/>
    <w:rsid w:val="001A458E"/>
    <w:rsid w:val="001A686F"/>
    <w:rsid w:val="001A7968"/>
    <w:rsid w:val="001B31EB"/>
    <w:rsid w:val="001B5034"/>
    <w:rsid w:val="001C01B4"/>
    <w:rsid w:val="001C35D8"/>
    <w:rsid w:val="001C35F6"/>
    <w:rsid w:val="001C3CA6"/>
    <w:rsid w:val="001C6200"/>
    <w:rsid w:val="001D0A03"/>
    <w:rsid w:val="001D0A44"/>
    <w:rsid w:val="001D10CF"/>
    <w:rsid w:val="001D36A4"/>
    <w:rsid w:val="001D5330"/>
    <w:rsid w:val="001D6686"/>
    <w:rsid w:val="001E0A55"/>
    <w:rsid w:val="001E357D"/>
    <w:rsid w:val="001E524C"/>
    <w:rsid w:val="001E5782"/>
    <w:rsid w:val="001E7BBB"/>
    <w:rsid w:val="001F0D07"/>
    <w:rsid w:val="001F1E37"/>
    <w:rsid w:val="001F265E"/>
    <w:rsid w:val="001F4F69"/>
    <w:rsid w:val="001F77EB"/>
    <w:rsid w:val="001F7CC7"/>
    <w:rsid w:val="00203442"/>
    <w:rsid w:val="002035BA"/>
    <w:rsid w:val="00212258"/>
    <w:rsid w:val="002139E2"/>
    <w:rsid w:val="00214CFF"/>
    <w:rsid w:val="002153A1"/>
    <w:rsid w:val="002205C9"/>
    <w:rsid w:val="00221AC0"/>
    <w:rsid w:val="0022238A"/>
    <w:rsid w:val="00227585"/>
    <w:rsid w:val="00233A70"/>
    <w:rsid w:val="00234099"/>
    <w:rsid w:val="002364C9"/>
    <w:rsid w:val="00237F2D"/>
    <w:rsid w:val="00240A12"/>
    <w:rsid w:val="00243731"/>
    <w:rsid w:val="0025115A"/>
    <w:rsid w:val="002535FE"/>
    <w:rsid w:val="00254176"/>
    <w:rsid w:val="0025462F"/>
    <w:rsid w:val="0025550B"/>
    <w:rsid w:val="0025607F"/>
    <w:rsid w:val="0025704C"/>
    <w:rsid w:val="002611A8"/>
    <w:rsid w:val="00263019"/>
    <w:rsid w:val="002634D9"/>
    <w:rsid w:val="00263C24"/>
    <w:rsid w:val="00265747"/>
    <w:rsid w:val="0026631D"/>
    <w:rsid w:val="002674C6"/>
    <w:rsid w:val="00267BA3"/>
    <w:rsid w:val="00270078"/>
    <w:rsid w:val="00270261"/>
    <w:rsid w:val="0027154B"/>
    <w:rsid w:val="00272EE4"/>
    <w:rsid w:val="00275C85"/>
    <w:rsid w:val="00276324"/>
    <w:rsid w:val="00276653"/>
    <w:rsid w:val="00276F42"/>
    <w:rsid w:val="00277E01"/>
    <w:rsid w:val="00281516"/>
    <w:rsid w:val="002815A6"/>
    <w:rsid w:val="0028341B"/>
    <w:rsid w:val="002842E6"/>
    <w:rsid w:val="00284C35"/>
    <w:rsid w:val="00287576"/>
    <w:rsid w:val="00287EAE"/>
    <w:rsid w:val="002928F0"/>
    <w:rsid w:val="00292E30"/>
    <w:rsid w:val="002951D1"/>
    <w:rsid w:val="00296075"/>
    <w:rsid w:val="0029621C"/>
    <w:rsid w:val="002962E4"/>
    <w:rsid w:val="00297E7D"/>
    <w:rsid w:val="002A10BB"/>
    <w:rsid w:val="002A47B8"/>
    <w:rsid w:val="002A7611"/>
    <w:rsid w:val="002A7680"/>
    <w:rsid w:val="002A7D2F"/>
    <w:rsid w:val="002B17A7"/>
    <w:rsid w:val="002B1967"/>
    <w:rsid w:val="002B346A"/>
    <w:rsid w:val="002B3572"/>
    <w:rsid w:val="002B56FE"/>
    <w:rsid w:val="002C1EDB"/>
    <w:rsid w:val="002C47B7"/>
    <w:rsid w:val="002C5066"/>
    <w:rsid w:val="002C5D5D"/>
    <w:rsid w:val="002D024F"/>
    <w:rsid w:val="002D25DD"/>
    <w:rsid w:val="002D43F1"/>
    <w:rsid w:val="002D4495"/>
    <w:rsid w:val="002D51EC"/>
    <w:rsid w:val="002D5769"/>
    <w:rsid w:val="002E19A3"/>
    <w:rsid w:val="002E279F"/>
    <w:rsid w:val="002E2ACE"/>
    <w:rsid w:val="002E2E58"/>
    <w:rsid w:val="002E5464"/>
    <w:rsid w:val="002E78B4"/>
    <w:rsid w:val="002E7EE5"/>
    <w:rsid w:val="002F0AC7"/>
    <w:rsid w:val="002F1305"/>
    <w:rsid w:val="002F6CEE"/>
    <w:rsid w:val="00301DC3"/>
    <w:rsid w:val="00303090"/>
    <w:rsid w:val="00307523"/>
    <w:rsid w:val="003100EA"/>
    <w:rsid w:val="003101E1"/>
    <w:rsid w:val="0031260B"/>
    <w:rsid w:val="003128AA"/>
    <w:rsid w:val="003142A6"/>
    <w:rsid w:val="00315483"/>
    <w:rsid w:val="00317936"/>
    <w:rsid w:val="00320AAC"/>
    <w:rsid w:val="0032285B"/>
    <w:rsid w:val="00324491"/>
    <w:rsid w:val="003248FC"/>
    <w:rsid w:val="0032733B"/>
    <w:rsid w:val="003351A1"/>
    <w:rsid w:val="0033528D"/>
    <w:rsid w:val="00335655"/>
    <w:rsid w:val="003368ED"/>
    <w:rsid w:val="00342667"/>
    <w:rsid w:val="00344BB1"/>
    <w:rsid w:val="00346239"/>
    <w:rsid w:val="00350E54"/>
    <w:rsid w:val="00352A1E"/>
    <w:rsid w:val="003560E0"/>
    <w:rsid w:val="00356AAB"/>
    <w:rsid w:val="003573E0"/>
    <w:rsid w:val="00357F8A"/>
    <w:rsid w:val="0036302E"/>
    <w:rsid w:val="00363642"/>
    <w:rsid w:val="00365BEB"/>
    <w:rsid w:val="00370D37"/>
    <w:rsid w:val="00374F5C"/>
    <w:rsid w:val="0037554C"/>
    <w:rsid w:val="00376258"/>
    <w:rsid w:val="003765BA"/>
    <w:rsid w:val="00376DF5"/>
    <w:rsid w:val="00381866"/>
    <w:rsid w:val="00383F71"/>
    <w:rsid w:val="00386C7C"/>
    <w:rsid w:val="00390160"/>
    <w:rsid w:val="003907B3"/>
    <w:rsid w:val="0039530E"/>
    <w:rsid w:val="00397646"/>
    <w:rsid w:val="003A110F"/>
    <w:rsid w:val="003A2A57"/>
    <w:rsid w:val="003A2B43"/>
    <w:rsid w:val="003A2E5F"/>
    <w:rsid w:val="003A44B0"/>
    <w:rsid w:val="003B0D44"/>
    <w:rsid w:val="003B2BEB"/>
    <w:rsid w:val="003B47A2"/>
    <w:rsid w:val="003B51B3"/>
    <w:rsid w:val="003C0C02"/>
    <w:rsid w:val="003C0C87"/>
    <w:rsid w:val="003C19FE"/>
    <w:rsid w:val="003C2FF2"/>
    <w:rsid w:val="003C4679"/>
    <w:rsid w:val="003C597F"/>
    <w:rsid w:val="003C70A0"/>
    <w:rsid w:val="003D2B66"/>
    <w:rsid w:val="003D35FB"/>
    <w:rsid w:val="003E1CA3"/>
    <w:rsid w:val="003E2067"/>
    <w:rsid w:val="003E3386"/>
    <w:rsid w:val="003E34BC"/>
    <w:rsid w:val="003E454E"/>
    <w:rsid w:val="003E64B4"/>
    <w:rsid w:val="003E71C8"/>
    <w:rsid w:val="003F2A8B"/>
    <w:rsid w:val="003F5556"/>
    <w:rsid w:val="003F74F0"/>
    <w:rsid w:val="0040138A"/>
    <w:rsid w:val="00401A5E"/>
    <w:rsid w:val="00401F36"/>
    <w:rsid w:val="004021B0"/>
    <w:rsid w:val="00406ECE"/>
    <w:rsid w:val="004078ED"/>
    <w:rsid w:val="0040796C"/>
    <w:rsid w:val="0041520D"/>
    <w:rsid w:val="00415DFE"/>
    <w:rsid w:val="00417C01"/>
    <w:rsid w:val="0042081A"/>
    <w:rsid w:val="00421D88"/>
    <w:rsid w:val="004236FA"/>
    <w:rsid w:val="00423F56"/>
    <w:rsid w:val="004248B9"/>
    <w:rsid w:val="00426664"/>
    <w:rsid w:val="004269A2"/>
    <w:rsid w:val="0043073A"/>
    <w:rsid w:val="00433B40"/>
    <w:rsid w:val="00434C1D"/>
    <w:rsid w:val="00435B54"/>
    <w:rsid w:val="00435EB8"/>
    <w:rsid w:val="004363E0"/>
    <w:rsid w:val="00440002"/>
    <w:rsid w:val="00441D80"/>
    <w:rsid w:val="00441E14"/>
    <w:rsid w:val="00442408"/>
    <w:rsid w:val="004427D9"/>
    <w:rsid w:val="004448B1"/>
    <w:rsid w:val="00444F9B"/>
    <w:rsid w:val="00445F65"/>
    <w:rsid w:val="00446345"/>
    <w:rsid w:val="00447DA9"/>
    <w:rsid w:val="00450A1E"/>
    <w:rsid w:val="0045198E"/>
    <w:rsid w:val="00452CA2"/>
    <w:rsid w:val="0045454B"/>
    <w:rsid w:val="00454A6D"/>
    <w:rsid w:val="00460DB0"/>
    <w:rsid w:val="004624A7"/>
    <w:rsid w:val="0046311F"/>
    <w:rsid w:val="00463E02"/>
    <w:rsid w:val="00466B55"/>
    <w:rsid w:val="00470974"/>
    <w:rsid w:val="004736AD"/>
    <w:rsid w:val="00473DB3"/>
    <w:rsid w:val="00474325"/>
    <w:rsid w:val="00474362"/>
    <w:rsid w:val="004746A5"/>
    <w:rsid w:val="00482492"/>
    <w:rsid w:val="00482DEB"/>
    <w:rsid w:val="0048326E"/>
    <w:rsid w:val="0048472B"/>
    <w:rsid w:val="004863DE"/>
    <w:rsid w:val="004901FC"/>
    <w:rsid w:val="00491822"/>
    <w:rsid w:val="00492F36"/>
    <w:rsid w:val="0049691C"/>
    <w:rsid w:val="004A1EB0"/>
    <w:rsid w:val="004A2FD0"/>
    <w:rsid w:val="004A36C1"/>
    <w:rsid w:val="004A3C6E"/>
    <w:rsid w:val="004A45C3"/>
    <w:rsid w:val="004A4DCE"/>
    <w:rsid w:val="004A6316"/>
    <w:rsid w:val="004B2290"/>
    <w:rsid w:val="004B391B"/>
    <w:rsid w:val="004B3F64"/>
    <w:rsid w:val="004C14FB"/>
    <w:rsid w:val="004C4C9E"/>
    <w:rsid w:val="004C6A7A"/>
    <w:rsid w:val="004C75BE"/>
    <w:rsid w:val="004D146C"/>
    <w:rsid w:val="004D410F"/>
    <w:rsid w:val="004D568D"/>
    <w:rsid w:val="004D5C15"/>
    <w:rsid w:val="004D6258"/>
    <w:rsid w:val="004E045F"/>
    <w:rsid w:val="004E0C90"/>
    <w:rsid w:val="004E38E6"/>
    <w:rsid w:val="004E7289"/>
    <w:rsid w:val="004F0D82"/>
    <w:rsid w:val="004F6695"/>
    <w:rsid w:val="004F782C"/>
    <w:rsid w:val="004F7A7A"/>
    <w:rsid w:val="00500C50"/>
    <w:rsid w:val="00502821"/>
    <w:rsid w:val="00510A52"/>
    <w:rsid w:val="00512031"/>
    <w:rsid w:val="00515804"/>
    <w:rsid w:val="00516D6F"/>
    <w:rsid w:val="00525E5C"/>
    <w:rsid w:val="00526E23"/>
    <w:rsid w:val="00527D73"/>
    <w:rsid w:val="0053338E"/>
    <w:rsid w:val="00534991"/>
    <w:rsid w:val="005365CF"/>
    <w:rsid w:val="005402B0"/>
    <w:rsid w:val="00540E29"/>
    <w:rsid w:val="005412F1"/>
    <w:rsid w:val="00541B38"/>
    <w:rsid w:val="00543120"/>
    <w:rsid w:val="0054676F"/>
    <w:rsid w:val="005472B5"/>
    <w:rsid w:val="00547B39"/>
    <w:rsid w:val="00547CF5"/>
    <w:rsid w:val="00550D1A"/>
    <w:rsid w:val="00552F34"/>
    <w:rsid w:val="00553985"/>
    <w:rsid w:val="00554E89"/>
    <w:rsid w:val="005550C7"/>
    <w:rsid w:val="00555842"/>
    <w:rsid w:val="00556C2B"/>
    <w:rsid w:val="005611CE"/>
    <w:rsid w:val="005634CA"/>
    <w:rsid w:val="00571BC7"/>
    <w:rsid w:val="0057239A"/>
    <w:rsid w:val="00572997"/>
    <w:rsid w:val="0057328F"/>
    <w:rsid w:val="00577601"/>
    <w:rsid w:val="00580ACB"/>
    <w:rsid w:val="00581F3A"/>
    <w:rsid w:val="00596FC7"/>
    <w:rsid w:val="005A008C"/>
    <w:rsid w:val="005A02A4"/>
    <w:rsid w:val="005A09CE"/>
    <w:rsid w:val="005A0DBA"/>
    <w:rsid w:val="005A33E8"/>
    <w:rsid w:val="005A5D45"/>
    <w:rsid w:val="005A5D4A"/>
    <w:rsid w:val="005B1B0D"/>
    <w:rsid w:val="005B1B2B"/>
    <w:rsid w:val="005B24B2"/>
    <w:rsid w:val="005B2B60"/>
    <w:rsid w:val="005B2CBD"/>
    <w:rsid w:val="005B41CD"/>
    <w:rsid w:val="005B420C"/>
    <w:rsid w:val="005B49A5"/>
    <w:rsid w:val="005B59BE"/>
    <w:rsid w:val="005C3437"/>
    <w:rsid w:val="005C640B"/>
    <w:rsid w:val="005C7D85"/>
    <w:rsid w:val="005C7FD0"/>
    <w:rsid w:val="005D139B"/>
    <w:rsid w:val="005D15CD"/>
    <w:rsid w:val="005D1922"/>
    <w:rsid w:val="005D3F20"/>
    <w:rsid w:val="005D4BDB"/>
    <w:rsid w:val="005D74E4"/>
    <w:rsid w:val="005D7C2D"/>
    <w:rsid w:val="005E50C5"/>
    <w:rsid w:val="005E53D7"/>
    <w:rsid w:val="005F02E9"/>
    <w:rsid w:val="005F4351"/>
    <w:rsid w:val="005F43E7"/>
    <w:rsid w:val="005F76F4"/>
    <w:rsid w:val="006031BD"/>
    <w:rsid w:val="00605034"/>
    <w:rsid w:val="00605F40"/>
    <w:rsid w:val="006102D1"/>
    <w:rsid w:val="00613687"/>
    <w:rsid w:val="00613C40"/>
    <w:rsid w:val="00614CF0"/>
    <w:rsid w:val="00615AD0"/>
    <w:rsid w:val="00616A19"/>
    <w:rsid w:val="00616CCD"/>
    <w:rsid w:val="00617008"/>
    <w:rsid w:val="00620D7F"/>
    <w:rsid w:val="00621659"/>
    <w:rsid w:val="006219D8"/>
    <w:rsid w:val="00621ECF"/>
    <w:rsid w:val="00622DC0"/>
    <w:rsid w:val="0062337C"/>
    <w:rsid w:val="0062469E"/>
    <w:rsid w:val="0062518D"/>
    <w:rsid w:val="00625304"/>
    <w:rsid w:val="00626F3C"/>
    <w:rsid w:val="00631D90"/>
    <w:rsid w:val="00633211"/>
    <w:rsid w:val="006336DB"/>
    <w:rsid w:val="00633DFD"/>
    <w:rsid w:val="00634607"/>
    <w:rsid w:val="00635349"/>
    <w:rsid w:val="00635BA4"/>
    <w:rsid w:val="0063662F"/>
    <w:rsid w:val="00636ECD"/>
    <w:rsid w:val="00637004"/>
    <w:rsid w:val="00650748"/>
    <w:rsid w:val="006526D9"/>
    <w:rsid w:val="00660E0A"/>
    <w:rsid w:val="006628B2"/>
    <w:rsid w:val="0066341B"/>
    <w:rsid w:val="006639FE"/>
    <w:rsid w:val="00665F56"/>
    <w:rsid w:val="006672A1"/>
    <w:rsid w:val="00667FD8"/>
    <w:rsid w:val="00670960"/>
    <w:rsid w:val="00671DC3"/>
    <w:rsid w:val="00672E59"/>
    <w:rsid w:val="006767EA"/>
    <w:rsid w:val="006813C6"/>
    <w:rsid w:val="006831C0"/>
    <w:rsid w:val="00685198"/>
    <w:rsid w:val="00693315"/>
    <w:rsid w:val="006949C0"/>
    <w:rsid w:val="00694F77"/>
    <w:rsid w:val="00697B89"/>
    <w:rsid w:val="006A140A"/>
    <w:rsid w:val="006A193F"/>
    <w:rsid w:val="006A1DAF"/>
    <w:rsid w:val="006A2544"/>
    <w:rsid w:val="006A27F0"/>
    <w:rsid w:val="006A4835"/>
    <w:rsid w:val="006B0EE9"/>
    <w:rsid w:val="006B2509"/>
    <w:rsid w:val="006B371D"/>
    <w:rsid w:val="006B3A4F"/>
    <w:rsid w:val="006B5C97"/>
    <w:rsid w:val="006B7281"/>
    <w:rsid w:val="006B73A2"/>
    <w:rsid w:val="006B7FB9"/>
    <w:rsid w:val="006C06D0"/>
    <w:rsid w:val="006C1B5C"/>
    <w:rsid w:val="006C41D2"/>
    <w:rsid w:val="006C697B"/>
    <w:rsid w:val="006D2333"/>
    <w:rsid w:val="006D5945"/>
    <w:rsid w:val="006D6EAA"/>
    <w:rsid w:val="006E15F7"/>
    <w:rsid w:val="006E2D7F"/>
    <w:rsid w:val="006E381E"/>
    <w:rsid w:val="006E5B56"/>
    <w:rsid w:val="006E5E26"/>
    <w:rsid w:val="006E6DF4"/>
    <w:rsid w:val="006E7936"/>
    <w:rsid w:val="006F306B"/>
    <w:rsid w:val="006F3666"/>
    <w:rsid w:val="006F609A"/>
    <w:rsid w:val="00703D14"/>
    <w:rsid w:val="00704662"/>
    <w:rsid w:val="00706C9B"/>
    <w:rsid w:val="00706F0C"/>
    <w:rsid w:val="00710148"/>
    <w:rsid w:val="00711AC8"/>
    <w:rsid w:val="00713207"/>
    <w:rsid w:val="00713C77"/>
    <w:rsid w:val="0071572D"/>
    <w:rsid w:val="007207C6"/>
    <w:rsid w:val="00721216"/>
    <w:rsid w:val="00721FCD"/>
    <w:rsid w:val="00722FCF"/>
    <w:rsid w:val="007234A0"/>
    <w:rsid w:val="00723E0B"/>
    <w:rsid w:val="00727FBB"/>
    <w:rsid w:val="00735FC7"/>
    <w:rsid w:val="0073664D"/>
    <w:rsid w:val="00741038"/>
    <w:rsid w:val="00742FB0"/>
    <w:rsid w:val="00743A53"/>
    <w:rsid w:val="00743DC1"/>
    <w:rsid w:val="00744F22"/>
    <w:rsid w:val="007511D2"/>
    <w:rsid w:val="0075693B"/>
    <w:rsid w:val="0075748F"/>
    <w:rsid w:val="0076052D"/>
    <w:rsid w:val="007646EE"/>
    <w:rsid w:val="00764875"/>
    <w:rsid w:val="0076579D"/>
    <w:rsid w:val="00770B57"/>
    <w:rsid w:val="00771739"/>
    <w:rsid w:val="007728AE"/>
    <w:rsid w:val="007731FB"/>
    <w:rsid w:val="00774D8A"/>
    <w:rsid w:val="00774FAB"/>
    <w:rsid w:val="007840C8"/>
    <w:rsid w:val="00786E73"/>
    <w:rsid w:val="007900B1"/>
    <w:rsid w:val="007906CB"/>
    <w:rsid w:val="00790C5E"/>
    <w:rsid w:val="0079107B"/>
    <w:rsid w:val="00791D85"/>
    <w:rsid w:val="00794E8E"/>
    <w:rsid w:val="00795DC2"/>
    <w:rsid w:val="007974A1"/>
    <w:rsid w:val="00797A86"/>
    <w:rsid w:val="007A0A2A"/>
    <w:rsid w:val="007A24B3"/>
    <w:rsid w:val="007A4D76"/>
    <w:rsid w:val="007A6E8C"/>
    <w:rsid w:val="007B01CE"/>
    <w:rsid w:val="007B0FC4"/>
    <w:rsid w:val="007B37BB"/>
    <w:rsid w:val="007B6680"/>
    <w:rsid w:val="007B6E4E"/>
    <w:rsid w:val="007B6FB3"/>
    <w:rsid w:val="007C1D55"/>
    <w:rsid w:val="007C2F4E"/>
    <w:rsid w:val="007C3694"/>
    <w:rsid w:val="007C43E8"/>
    <w:rsid w:val="007C4BE3"/>
    <w:rsid w:val="007C616A"/>
    <w:rsid w:val="007D0A40"/>
    <w:rsid w:val="007D1099"/>
    <w:rsid w:val="007D2446"/>
    <w:rsid w:val="007D2EDA"/>
    <w:rsid w:val="007D38AD"/>
    <w:rsid w:val="007D67DB"/>
    <w:rsid w:val="007D76FA"/>
    <w:rsid w:val="007D779D"/>
    <w:rsid w:val="007E0832"/>
    <w:rsid w:val="007E0B8D"/>
    <w:rsid w:val="007E0D53"/>
    <w:rsid w:val="007E2226"/>
    <w:rsid w:val="007E3CD6"/>
    <w:rsid w:val="007E4059"/>
    <w:rsid w:val="007E626E"/>
    <w:rsid w:val="007E7FD9"/>
    <w:rsid w:val="007F1FA8"/>
    <w:rsid w:val="007F2D43"/>
    <w:rsid w:val="007F55F4"/>
    <w:rsid w:val="007F6FB3"/>
    <w:rsid w:val="007F7224"/>
    <w:rsid w:val="00802451"/>
    <w:rsid w:val="00802643"/>
    <w:rsid w:val="00803B6D"/>
    <w:rsid w:val="0080435F"/>
    <w:rsid w:val="00804D40"/>
    <w:rsid w:val="00806CA4"/>
    <w:rsid w:val="008079AA"/>
    <w:rsid w:val="008102D2"/>
    <w:rsid w:val="0081088B"/>
    <w:rsid w:val="008149AA"/>
    <w:rsid w:val="00814D4A"/>
    <w:rsid w:val="00817CBC"/>
    <w:rsid w:val="00820DA3"/>
    <w:rsid w:val="00821240"/>
    <w:rsid w:val="00822CB5"/>
    <w:rsid w:val="00823837"/>
    <w:rsid w:val="00824D35"/>
    <w:rsid w:val="00830215"/>
    <w:rsid w:val="00835DB9"/>
    <w:rsid w:val="00835E75"/>
    <w:rsid w:val="00836C42"/>
    <w:rsid w:val="00836DFE"/>
    <w:rsid w:val="00840B75"/>
    <w:rsid w:val="0084227D"/>
    <w:rsid w:val="008461F4"/>
    <w:rsid w:val="00850E93"/>
    <w:rsid w:val="00851489"/>
    <w:rsid w:val="00853336"/>
    <w:rsid w:val="00856B67"/>
    <w:rsid w:val="00857E7D"/>
    <w:rsid w:val="00860CF5"/>
    <w:rsid w:val="00862C18"/>
    <w:rsid w:val="008661FE"/>
    <w:rsid w:val="00866C0B"/>
    <w:rsid w:val="00873CF7"/>
    <w:rsid w:val="00876E2E"/>
    <w:rsid w:val="00877266"/>
    <w:rsid w:val="00880E87"/>
    <w:rsid w:val="00881192"/>
    <w:rsid w:val="00881E01"/>
    <w:rsid w:val="00883108"/>
    <w:rsid w:val="00884081"/>
    <w:rsid w:val="00884A0D"/>
    <w:rsid w:val="008853F4"/>
    <w:rsid w:val="00885407"/>
    <w:rsid w:val="0088772B"/>
    <w:rsid w:val="00890F1A"/>
    <w:rsid w:val="0089321D"/>
    <w:rsid w:val="00893364"/>
    <w:rsid w:val="00894587"/>
    <w:rsid w:val="008946CA"/>
    <w:rsid w:val="008948A7"/>
    <w:rsid w:val="00895323"/>
    <w:rsid w:val="008A0B98"/>
    <w:rsid w:val="008A3B1A"/>
    <w:rsid w:val="008A5948"/>
    <w:rsid w:val="008B0D64"/>
    <w:rsid w:val="008B2A0C"/>
    <w:rsid w:val="008B3D57"/>
    <w:rsid w:val="008B458D"/>
    <w:rsid w:val="008B4936"/>
    <w:rsid w:val="008B5A48"/>
    <w:rsid w:val="008B7058"/>
    <w:rsid w:val="008C0A3D"/>
    <w:rsid w:val="008C1950"/>
    <w:rsid w:val="008C5C43"/>
    <w:rsid w:val="008C640C"/>
    <w:rsid w:val="008D26A0"/>
    <w:rsid w:val="008D41EC"/>
    <w:rsid w:val="008E148E"/>
    <w:rsid w:val="008E2D49"/>
    <w:rsid w:val="008E39ED"/>
    <w:rsid w:val="008E3EDC"/>
    <w:rsid w:val="008E6E95"/>
    <w:rsid w:val="008E704E"/>
    <w:rsid w:val="008F516F"/>
    <w:rsid w:val="008F598B"/>
    <w:rsid w:val="008F5B39"/>
    <w:rsid w:val="008F6AC3"/>
    <w:rsid w:val="00910208"/>
    <w:rsid w:val="00910749"/>
    <w:rsid w:val="00911F55"/>
    <w:rsid w:val="009140EF"/>
    <w:rsid w:val="009167EE"/>
    <w:rsid w:val="0091729E"/>
    <w:rsid w:val="0091787E"/>
    <w:rsid w:val="00921883"/>
    <w:rsid w:val="00922159"/>
    <w:rsid w:val="00922D8F"/>
    <w:rsid w:val="00927C77"/>
    <w:rsid w:val="009305E2"/>
    <w:rsid w:val="00930C54"/>
    <w:rsid w:val="00931FBA"/>
    <w:rsid w:val="00932206"/>
    <w:rsid w:val="00933B21"/>
    <w:rsid w:val="00934F0A"/>
    <w:rsid w:val="0093789F"/>
    <w:rsid w:val="00942CF2"/>
    <w:rsid w:val="0094583B"/>
    <w:rsid w:val="0094609B"/>
    <w:rsid w:val="00947EEF"/>
    <w:rsid w:val="009536BD"/>
    <w:rsid w:val="009553EB"/>
    <w:rsid w:val="009570DA"/>
    <w:rsid w:val="00957474"/>
    <w:rsid w:val="00962F1B"/>
    <w:rsid w:val="009643D4"/>
    <w:rsid w:val="00971745"/>
    <w:rsid w:val="00972AEF"/>
    <w:rsid w:val="00973DCD"/>
    <w:rsid w:val="009757B3"/>
    <w:rsid w:val="00985842"/>
    <w:rsid w:val="00986898"/>
    <w:rsid w:val="00990E90"/>
    <w:rsid w:val="009911A8"/>
    <w:rsid w:val="009921C2"/>
    <w:rsid w:val="00992687"/>
    <w:rsid w:val="00993F5C"/>
    <w:rsid w:val="00995BA7"/>
    <w:rsid w:val="0099633A"/>
    <w:rsid w:val="00996A41"/>
    <w:rsid w:val="00996BFB"/>
    <w:rsid w:val="009973A3"/>
    <w:rsid w:val="0099767E"/>
    <w:rsid w:val="009A0AB3"/>
    <w:rsid w:val="009A1730"/>
    <w:rsid w:val="009A18F9"/>
    <w:rsid w:val="009A224B"/>
    <w:rsid w:val="009A4E65"/>
    <w:rsid w:val="009A5A27"/>
    <w:rsid w:val="009B044A"/>
    <w:rsid w:val="009B2CFA"/>
    <w:rsid w:val="009B504B"/>
    <w:rsid w:val="009B5E09"/>
    <w:rsid w:val="009C03E8"/>
    <w:rsid w:val="009C0507"/>
    <w:rsid w:val="009C085C"/>
    <w:rsid w:val="009C0AD1"/>
    <w:rsid w:val="009C11E6"/>
    <w:rsid w:val="009C5A92"/>
    <w:rsid w:val="009C7FF6"/>
    <w:rsid w:val="009D20CE"/>
    <w:rsid w:val="009D4344"/>
    <w:rsid w:val="009D5F31"/>
    <w:rsid w:val="009E30A6"/>
    <w:rsid w:val="009E3E5A"/>
    <w:rsid w:val="009E4B19"/>
    <w:rsid w:val="009E5359"/>
    <w:rsid w:val="009F4046"/>
    <w:rsid w:val="00A004A7"/>
    <w:rsid w:val="00A005D0"/>
    <w:rsid w:val="00A02564"/>
    <w:rsid w:val="00A03BC9"/>
    <w:rsid w:val="00A042BB"/>
    <w:rsid w:val="00A110AA"/>
    <w:rsid w:val="00A140EF"/>
    <w:rsid w:val="00A16BA9"/>
    <w:rsid w:val="00A171F6"/>
    <w:rsid w:val="00A172E4"/>
    <w:rsid w:val="00A22387"/>
    <w:rsid w:val="00A32AE3"/>
    <w:rsid w:val="00A36CEB"/>
    <w:rsid w:val="00A411C4"/>
    <w:rsid w:val="00A42107"/>
    <w:rsid w:val="00A43D27"/>
    <w:rsid w:val="00A47F63"/>
    <w:rsid w:val="00A531BE"/>
    <w:rsid w:val="00A53ED7"/>
    <w:rsid w:val="00A5579F"/>
    <w:rsid w:val="00A60756"/>
    <w:rsid w:val="00A62C5C"/>
    <w:rsid w:val="00A63D24"/>
    <w:rsid w:val="00A64A9B"/>
    <w:rsid w:val="00A65997"/>
    <w:rsid w:val="00A67EE5"/>
    <w:rsid w:val="00A700F3"/>
    <w:rsid w:val="00A7133A"/>
    <w:rsid w:val="00A76574"/>
    <w:rsid w:val="00A82FC3"/>
    <w:rsid w:val="00A85C10"/>
    <w:rsid w:val="00A85C7C"/>
    <w:rsid w:val="00A86AC2"/>
    <w:rsid w:val="00A86ED0"/>
    <w:rsid w:val="00A86FF9"/>
    <w:rsid w:val="00A93E4C"/>
    <w:rsid w:val="00AA0A46"/>
    <w:rsid w:val="00AA2485"/>
    <w:rsid w:val="00AA7DB8"/>
    <w:rsid w:val="00AB3055"/>
    <w:rsid w:val="00AB383E"/>
    <w:rsid w:val="00AB4B56"/>
    <w:rsid w:val="00AB6027"/>
    <w:rsid w:val="00AC3805"/>
    <w:rsid w:val="00AC3D3F"/>
    <w:rsid w:val="00AC763F"/>
    <w:rsid w:val="00AD083D"/>
    <w:rsid w:val="00AD0AF8"/>
    <w:rsid w:val="00AD4782"/>
    <w:rsid w:val="00AD5162"/>
    <w:rsid w:val="00AD5E94"/>
    <w:rsid w:val="00AD5F11"/>
    <w:rsid w:val="00AD6EBD"/>
    <w:rsid w:val="00AE3266"/>
    <w:rsid w:val="00AE7AE5"/>
    <w:rsid w:val="00AE7F89"/>
    <w:rsid w:val="00AF2A5B"/>
    <w:rsid w:val="00AF32D8"/>
    <w:rsid w:val="00AF572C"/>
    <w:rsid w:val="00AF588B"/>
    <w:rsid w:val="00AF5E45"/>
    <w:rsid w:val="00AF6E74"/>
    <w:rsid w:val="00AF7A7A"/>
    <w:rsid w:val="00AF7E8B"/>
    <w:rsid w:val="00B0071D"/>
    <w:rsid w:val="00B0137E"/>
    <w:rsid w:val="00B01D7F"/>
    <w:rsid w:val="00B031B6"/>
    <w:rsid w:val="00B10591"/>
    <w:rsid w:val="00B105AE"/>
    <w:rsid w:val="00B10F75"/>
    <w:rsid w:val="00B12CFD"/>
    <w:rsid w:val="00B1374D"/>
    <w:rsid w:val="00B1617F"/>
    <w:rsid w:val="00B20605"/>
    <w:rsid w:val="00B231BD"/>
    <w:rsid w:val="00B23EEB"/>
    <w:rsid w:val="00B260F9"/>
    <w:rsid w:val="00B31120"/>
    <w:rsid w:val="00B31771"/>
    <w:rsid w:val="00B34DB1"/>
    <w:rsid w:val="00B35877"/>
    <w:rsid w:val="00B41A87"/>
    <w:rsid w:val="00B446E6"/>
    <w:rsid w:val="00B453A4"/>
    <w:rsid w:val="00B45877"/>
    <w:rsid w:val="00B47B96"/>
    <w:rsid w:val="00B50024"/>
    <w:rsid w:val="00B504F8"/>
    <w:rsid w:val="00B5179A"/>
    <w:rsid w:val="00B66B51"/>
    <w:rsid w:val="00B674BA"/>
    <w:rsid w:val="00B67758"/>
    <w:rsid w:val="00B67A2D"/>
    <w:rsid w:val="00B7243D"/>
    <w:rsid w:val="00B75010"/>
    <w:rsid w:val="00B7542E"/>
    <w:rsid w:val="00B7664F"/>
    <w:rsid w:val="00B76DE1"/>
    <w:rsid w:val="00B8365B"/>
    <w:rsid w:val="00B85E40"/>
    <w:rsid w:val="00B86947"/>
    <w:rsid w:val="00B87603"/>
    <w:rsid w:val="00B9095B"/>
    <w:rsid w:val="00B92274"/>
    <w:rsid w:val="00B939FF"/>
    <w:rsid w:val="00B93EB0"/>
    <w:rsid w:val="00B94663"/>
    <w:rsid w:val="00B960CA"/>
    <w:rsid w:val="00B96289"/>
    <w:rsid w:val="00B964A4"/>
    <w:rsid w:val="00B96D33"/>
    <w:rsid w:val="00BA01F5"/>
    <w:rsid w:val="00BA196F"/>
    <w:rsid w:val="00BA548B"/>
    <w:rsid w:val="00BA55E1"/>
    <w:rsid w:val="00BA6B9A"/>
    <w:rsid w:val="00BA6EAC"/>
    <w:rsid w:val="00BA74D9"/>
    <w:rsid w:val="00BB1F6A"/>
    <w:rsid w:val="00BB21A5"/>
    <w:rsid w:val="00BC19F0"/>
    <w:rsid w:val="00BC5572"/>
    <w:rsid w:val="00BC5D30"/>
    <w:rsid w:val="00BC6EA4"/>
    <w:rsid w:val="00BD2852"/>
    <w:rsid w:val="00BE0CC4"/>
    <w:rsid w:val="00BE15DF"/>
    <w:rsid w:val="00BE788A"/>
    <w:rsid w:val="00BF2F6F"/>
    <w:rsid w:val="00BF448D"/>
    <w:rsid w:val="00BF7968"/>
    <w:rsid w:val="00C03D88"/>
    <w:rsid w:val="00C05696"/>
    <w:rsid w:val="00C100B2"/>
    <w:rsid w:val="00C1235E"/>
    <w:rsid w:val="00C12884"/>
    <w:rsid w:val="00C12B19"/>
    <w:rsid w:val="00C12F1C"/>
    <w:rsid w:val="00C23B9B"/>
    <w:rsid w:val="00C249A1"/>
    <w:rsid w:val="00C25B3A"/>
    <w:rsid w:val="00C33E37"/>
    <w:rsid w:val="00C35435"/>
    <w:rsid w:val="00C3642E"/>
    <w:rsid w:val="00C369B9"/>
    <w:rsid w:val="00C36CFF"/>
    <w:rsid w:val="00C403D3"/>
    <w:rsid w:val="00C43EFE"/>
    <w:rsid w:val="00C44479"/>
    <w:rsid w:val="00C519AE"/>
    <w:rsid w:val="00C54595"/>
    <w:rsid w:val="00C5623B"/>
    <w:rsid w:val="00C62CC5"/>
    <w:rsid w:val="00C67832"/>
    <w:rsid w:val="00C67EAB"/>
    <w:rsid w:val="00C74603"/>
    <w:rsid w:val="00C747D8"/>
    <w:rsid w:val="00C74AFE"/>
    <w:rsid w:val="00C75280"/>
    <w:rsid w:val="00C75325"/>
    <w:rsid w:val="00C75866"/>
    <w:rsid w:val="00C764F7"/>
    <w:rsid w:val="00C775A3"/>
    <w:rsid w:val="00C77DFB"/>
    <w:rsid w:val="00C8184F"/>
    <w:rsid w:val="00C82346"/>
    <w:rsid w:val="00C83C09"/>
    <w:rsid w:val="00C83F6C"/>
    <w:rsid w:val="00C8525A"/>
    <w:rsid w:val="00C87E82"/>
    <w:rsid w:val="00C91620"/>
    <w:rsid w:val="00C92245"/>
    <w:rsid w:val="00C92B43"/>
    <w:rsid w:val="00C949B6"/>
    <w:rsid w:val="00C950A1"/>
    <w:rsid w:val="00C958F9"/>
    <w:rsid w:val="00C96264"/>
    <w:rsid w:val="00C970DD"/>
    <w:rsid w:val="00CA1B9D"/>
    <w:rsid w:val="00CA38D0"/>
    <w:rsid w:val="00CA6030"/>
    <w:rsid w:val="00CA69EB"/>
    <w:rsid w:val="00CA7056"/>
    <w:rsid w:val="00CA77E9"/>
    <w:rsid w:val="00CB154E"/>
    <w:rsid w:val="00CB16D2"/>
    <w:rsid w:val="00CB57BA"/>
    <w:rsid w:val="00CB6CFB"/>
    <w:rsid w:val="00CC17AC"/>
    <w:rsid w:val="00CC45FB"/>
    <w:rsid w:val="00CC63FE"/>
    <w:rsid w:val="00CD1485"/>
    <w:rsid w:val="00CD34DE"/>
    <w:rsid w:val="00CE0E7F"/>
    <w:rsid w:val="00CE131D"/>
    <w:rsid w:val="00CE2B20"/>
    <w:rsid w:val="00CE4896"/>
    <w:rsid w:val="00CE4DFD"/>
    <w:rsid w:val="00CE776B"/>
    <w:rsid w:val="00CF047D"/>
    <w:rsid w:val="00CF0B0C"/>
    <w:rsid w:val="00CF5B1A"/>
    <w:rsid w:val="00CF7E4E"/>
    <w:rsid w:val="00CF7E5A"/>
    <w:rsid w:val="00D01625"/>
    <w:rsid w:val="00D01748"/>
    <w:rsid w:val="00D02C01"/>
    <w:rsid w:val="00D07669"/>
    <w:rsid w:val="00D102B2"/>
    <w:rsid w:val="00D109B2"/>
    <w:rsid w:val="00D14D98"/>
    <w:rsid w:val="00D15F74"/>
    <w:rsid w:val="00D170F5"/>
    <w:rsid w:val="00D227A8"/>
    <w:rsid w:val="00D23014"/>
    <w:rsid w:val="00D2598B"/>
    <w:rsid w:val="00D31890"/>
    <w:rsid w:val="00D31B50"/>
    <w:rsid w:val="00D32869"/>
    <w:rsid w:val="00D32DB0"/>
    <w:rsid w:val="00D343F9"/>
    <w:rsid w:val="00D412EB"/>
    <w:rsid w:val="00D42E4E"/>
    <w:rsid w:val="00D435C1"/>
    <w:rsid w:val="00D44157"/>
    <w:rsid w:val="00D4444E"/>
    <w:rsid w:val="00D445DD"/>
    <w:rsid w:val="00D4758D"/>
    <w:rsid w:val="00D50075"/>
    <w:rsid w:val="00D50BB6"/>
    <w:rsid w:val="00D512AC"/>
    <w:rsid w:val="00D513A1"/>
    <w:rsid w:val="00D51616"/>
    <w:rsid w:val="00D52A46"/>
    <w:rsid w:val="00D53B09"/>
    <w:rsid w:val="00D56557"/>
    <w:rsid w:val="00D5702E"/>
    <w:rsid w:val="00D6102E"/>
    <w:rsid w:val="00D6227D"/>
    <w:rsid w:val="00D6251E"/>
    <w:rsid w:val="00D62E9B"/>
    <w:rsid w:val="00D6454D"/>
    <w:rsid w:val="00D67DA1"/>
    <w:rsid w:val="00D70D60"/>
    <w:rsid w:val="00D7118E"/>
    <w:rsid w:val="00D72E47"/>
    <w:rsid w:val="00D7464F"/>
    <w:rsid w:val="00D74B75"/>
    <w:rsid w:val="00D75320"/>
    <w:rsid w:val="00D758AE"/>
    <w:rsid w:val="00D75A5C"/>
    <w:rsid w:val="00D76020"/>
    <w:rsid w:val="00D76A4D"/>
    <w:rsid w:val="00D801BE"/>
    <w:rsid w:val="00D82F0E"/>
    <w:rsid w:val="00D8488F"/>
    <w:rsid w:val="00D848D1"/>
    <w:rsid w:val="00D85B09"/>
    <w:rsid w:val="00D8655A"/>
    <w:rsid w:val="00D87982"/>
    <w:rsid w:val="00D915AC"/>
    <w:rsid w:val="00D91DEC"/>
    <w:rsid w:val="00D9350B"/>
    <w:rsid w:val="00D96249"/>
    <w:rsid w:val="00D96AD6"/>
    <w:rsid w:val="00D97CF1"/>
    <w:rsid w:val="00DA29E0"/>
    <w:rsid w:val="00DA5102"/>
    <w:rsid w:val="00DA6802"/>
    <w:rsid w:val="00DB1707"/>
    <w:rsid w:val="00DB18B5"/>
    <w:rsid w:val="00DB2761"/>
    <w:rsid w:val="00DB35F0"/>
    <w:rsid w:val="00DB5C62"/>
    <w:rsid w:val="00DB7417"/>
    <w:rsid w:val="00DC034A"/>
    <w:rsid w:val="00DC0F08"/>
    <w:rsid w:val="00DC46CA"/>
    <w:rsid w:val="00DC5108"/>
    <w:rsid w:val="00DC605A"/>
    <w:rsid w:val="00DD2878"/>
    <w:rsid w:val="00DD5C90"/>
    <w:rsid w:val="00DD7C3B"/>
    <w:rsid w:val="00DE0495"/>
    <w:rsid w:val="00DE12B0"/>
    <w:rsid w:val="00DE2988"/>
    <w:rsid w:val="00DE3EF7"/>
    <w:rsid w:val="00DE47F6"/>
    <w:rsid w:val="00DE7170"/>
    <w:rsid w:val="00DF06EF"/>
    <w:rsid w:val="00DF4CE9"/>
    <w:rsid w:val="00DF5421"/>
    <w:rsid w:val="00DF5763"/>
    <w:rsid w:val="00DF5CEE"/>
    <w:rsid w:val="00DF69DA"/>
    <w:rsid w:val="00E02038"/>
    <w:rsid w:val="00E04CC3"/>
    <w:rsid w:val="00E04CD3"/>
    <w:rsid w:val="00E07F56"/>
    <w:rsid w:val="00E12A7E"/>
    <w:rsid w:val="00E13428"/>
    <w:rsid w:val="00E14B5A"/>
    <w:rsid w:val="00E16258"/>
    <w:rsid w:val="00E17688"/>
    <w:rsid w:val="00E17B7D"/>
    <w:rsid w:val="00E26C32"/>
    <w:rsid w:val="00E2781C"/>
    <w:rsid w:val="00E30105"/>
    <w:rsid w:val="00E30B8C"/>
    <w:rsid w:val="00E313EC"/>
    <w:rsid w:val="00E32476"/>
    <w:rsid w:val="00E329DC"/>
    <w:rsid w:val="00E32E62"/>
    <w:rsid w:val="00E33747"/>
    <w:rsid w:val="00E34527"/>
    <w:rsid w:val="00E34D60"/>
    <w:rsid w:val="00E36835"/>
    <w:rsid w:val="00E433E5"/>
    <w:rsid w:val="00E43BF4"/>
    <w:rsid w:val="00E4437B"/>
    <w:rsid w:val="00E45798"/>
    <w:rsid w:val="00E45DC8"/>
    <w:rsid w:val="00E51BC8"/>
    <w:rsid w:val="00E54D3E"/>
    <w:rsid w:val="00E57885"/>
    <w:rsid w:val="00E64A7B"/>
    <w:rsid w:val="00E64C86"/>
    <w:rsid w:val="00E65BC1"/>
    <w:rsid w:val="00E65EE5"/>
    <w:rsid w:val="00E6670C"/>
    <w:rsid w:val="00E66AA8"/>
    <w:rsid w:val="00E676C8"/>
    <w:rsid w:val="00E70C75"/>
    <w:rsid w:val="00E72865"/>
    <w:rsid w:val="00E751A3"/>
    <w:rsid w:val="00E75965"/>
    <w:rsid w:val="00E7599C"/>
    <w:rsid w:val="00E75EF7"/>
    <w:rsid w:val="00E76287"/>
    <w:rsid w:val="00E76C77"/>
    <w:rsid w:val="00E77C36"/>
    <w:rsid w:val="00E8050A"/>
    <w:rsid w:val="00E81DFD"/>
    <w:rsid w:val="00E834B7"/>
    <w:rsid w:val="00E83BDC"/>
    <w:rsid w:val="00E90583"/>
    <w:rsid w:val="00E9087D"/>
    <w:rsid w:val="00E90E06"/>
    <w:rsid w:val="00E919D1"/>
    <w:rsid w:val="00E91D2A"/>
    <w:rsid w:val="00E9407D"/>
    <w:rsid w:val="00E965C5"/>
    <w:rsid w:val="00EA34D0"/>
    <w:rsid w:val="00EA5378"/>
    <w:rsid w:val="00EA5A92"/>
    <w:rsid w:val="00EB0769"/>
    <w:rsid w:val="00EB095E"/>
    <w:rsid w:val="00EB1CC5"/>
    <w:rsid w:val="00EB58C0"/>
    <w:rsid w:val="00EB6365"/>
    <w:rsid w:val="00EB63B6"/>
    <w:rsid w:val="00EB7E4C"/>
    <w:rsid w:val="00EC18BE"/>
    <w:rsid w:val="00EC5078"/>
    <w:rsid w:val="00EC583A"/>
    <w:rsid w:val="00ED1EFF"/>
    <w:rsid w:val="00ED21CA"/>
    <w:rsid w:val="00ED2C2F"/>
    <w:rsid w:val="00EE0885"/>
    <w:rsid w:val="00EE23BA"/>
    <w:rsid w:val="00EE24D1"/>
    <w:rsid w:val="00EE42CE"/>
    <w:rsid w:val="00EE4E2E"/>
    <w:rsid w:val="00EF02E7"/>
    <w:rsid w:val="00EF118F"/>
    <w:rsid w:val="00EF12EF"/>
    <w:rsid w:val="00EF4DB2"/>
    <w:rsid w:val="00EF4E41"/>
    <w:rsid w:val="00EF4EDE"/>
    <w:rsid w:val="00EF6533"/>
    <w:rsid w:val="00EF7B3E"/>
    <w:rsid w:val="00F017EC"/>
    <w:rsid w:val="00F04DFF"/>
    <w:rsid w:val="00F068FF"/>
    <w:rsid w:val="00F06D09"/>
    <w:rsid w:val="00F10BF2"/>
    <w:rsid w:val="00F132A0"/>
    <w:rsid w:val="00F133D8"/>
    <w:rsid w:val="00F14EE9"/>
    <w:rsid w:val="00F153B5"/>
    <w:rsid w:val="00F165FD"/>
    <w:rsid w:val="00F20000"/>
    <w:rsid w:val="00F21941"/>
    <w:rsid w:val="00F21B77"/>
    <w:rsid w:val="00F22C57"/>
    <w:rsid w:val="00F22E0B"/>
    <w:rsid w:val="00F32AE7"/>
    <w:rsid w:val="00F34C9D"/>
    <w:rsid w:val="00F3637E"/>
    <w:rsid w:val="00F375C1"/>
    <w:rsid w:val="00F405FB"/>
    <w:rsid w:val="00F408C0"/>
    <w:rsid w:val="00F43FA0"/>
    <w:rsid w:val="00F45D59"/>
    <w:rsid w:val="00F468D8"/>
    <w:rsid w:val="00F47A90"/>
    <w:rsid w:val="00F51747"/>
    <w:rsid w:val="00F51EC4"/>
    <w:rsid w:val="00F52FDD"/>
    <w:rsid w:val="00F54189"/>
    <w:rsid w:val="00F5798D"/>
    <w:rsid w:val="00F62497"/>
    <w:rsid w:val="00F64F65"/>
    <w:rsid w:val="00F66B1E"/>
    <w:rsid w:val="00F704AA"/>
    <w:rsid w:val="00F7257A"/>
    <w:rsid w:val="00F729C5"/>
    <w:rsid w:val="00F76314"/>
    <w:rsid w:val="00F82912"/>
    <w:rsid w:val="00F85B79"/>
    <w:rsid w:val="00F917B5"/>
    <w:rsid w:val="00F91F6F"/>
    <w:rsid w:val="00FA0EA8"/>
    <w:rsid w:val="00FA1DCC"/>
    <w:rsid w:val="00FA1DD3"/>
    <w:rsid w:val="00FA4550"/>
    <w:rsid w:val="00FA4F0D"/>
    <w:rsid w:val="00FA5408"/>
    <w:rsid w:val="00FB62DF"/>
    <w:rsid w:val="00FB6756"/>
    <w:rsid w:val="00FB748A"/>
    <w:rsid w:val="00FB785F"/>
    <w:rsid w:val="00FC2E43"/>
    <w:rsid w:val="00FC45C0"/>
    <w:rsid w:val="00FC4919"/>
    <w:rsid w:val="00FC5142"/>
    <w:rsid w:val="00FC7FA8"/>
    <w:rsid w:val="00FD02CD"/>
    <w:rsid w:val="00FD0A6A"/>
    <w:rsid w:val="00FD1AFD"/>
    <w:rsid w:val="00FD25B6"/>
    <w:rsid w:val="00FD311C"/>
    <w:rsid w:val="00FD4175"/>
    <w:rsid w:val="00FD55AD"/>
    <w:rsid w:val="00FD58F1"/>
    <w:rsid w:val="00FE043B"/>
    <w:rsid w:val="00FE0592"/>
    <w:rsid w:val="00FE10DC"/>
    <w:rsid w:val="00FE1622"/>
    <w:rsid w:val="00FE3E6F"/>
    <w:rsid w:val="00FE78B4"/>
    <w:rsid w:val="00FF0EF8"/>
    <w:rsid w:val="00FF1FD3"/>
    <w:rsid w:val="00FF3BCF"/>
    <w:rsid w:val="00FF43B3"/>
    <w:rsid w:val="00FF5CAC"/>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09396d,#e0e0e0,#f2dcdb"/>
    </o:shapedefaults>
    <o:shapelayout v:ext="edit">
      <o:idmap v:ext="edit" data="1"/>
    </o:shapelayout>
  </w:shapeDefaults>
  <w:decimalSymbol w:val="."/>
  <w:listSeparator w:val=","/>
  <w14:docId w14:val="0BB4DF8E"/>
  <w15:docId w15:val="{B2D10293-9022-496C-98DD-9C2696D8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1A8"/>
    <w:rPr>
      <w:sz w:val="24"/>
      <w:szCs w:val="24"/>
    </w:rPr>
  </w:style>
  <w:style w:type="paragraph" w:styleId="Heading1">
    <w:name w:val="heading 1"/>
    <w:basedOn w:val="Normal"/>
    <w:next w:val="Normal"/>
    <w:link w:val="Heading1Char"/>
    <w:qFormat/>
    <w:rsid w:val="00515804"/>
    <w:pPr>
      <w:keepNext/>
      <w:outlineLvl w:val="0"/>
    </w:pPr>
    <w:rPr>
      <w:rFonts w:ascii="Arial Bold" w:eastAsia="Calibri" w:hAnsi="Arial Bold" w:cs="Arial"/>
      <w:b/>
      <w:bCs/>
      <w:sz w:val="28"/>
      <w:lang w:eastAsia="en-US"/>
    </w:rPr>
  </w:style>
  <w:style w:type="paragraph" w:styleId="Heading2">
    <w:name w:val="heading 2"/>
    <w:basedOn w:val="Normal"/>
    <w:next w:val="Normal"/>
    <w:link w:val="Heading2Char"/>
    <w:qFormat/>
    <w:rsid w:val="002D4495"/>
    <w:pPr>
      <w:keepNext/>
      <w:outlineLvl w:val="1"/>
    </w:pPr>
    <w:rPr>
      <w:rFonts w:ascii="Arial" w:eastAsia="Calibri" w:hAnsi="Arial" w:cs="Arial"/>
      <w:b/>
      <w:sz w:val="28"/>
      <w:lang w:eastAsia="en-US"/>
    </w:rPr>
  </w:style>
  <w:style w:type="paragraph" w:styleId="Heading3">
    <w:name w:val="heading 3"/>
    <w:basedOn w:val="Normal"/>
    <w:next w:val="Normal"/>
    <w:link w:val="Heading3Char"/>
    <w:qFormat/>
    <w:rsid w:val="000163D5"/>
    <w:pPr>
      <w:keepNext/>
      <w:framePr w:hSpace="180" w:wrap="notBeside" w:hAnchor="margin" w:y="2177"/>
      <w:outlineLvl w:val="2"/>
    </w:pPr>
    <w:rPr>
      <w:rFonts w:ascii="Arial" w:eastAsia="Calibri" w:hAnsi="Arial" w:cs="Arial"/>
      <w:b/>
      <w:bCs/>
      <w:i/>
      <w:iCs/>
      <w:u w:val="single"/>
      <w:lang w:eastAsia="en-US"/>
    </w:rPr>
  </w:style>
  <w:style w:type="paragraph" w:styleId="Heading5">
    <w:name w:val="heading 5"/>
    <w:basedOn w:val="Normal"/>
    <w:next w:val="Normal"/>
    <w:link w:val="Heading5Char"/>
    <w:qFormat/>
    <w:rsid w:val="000163D5"/>
    <w:pPr>
      <w:keepNext/>
      <w:framePr w:hSpace="180" w:wrap="around" w:vAnchor="page" w:hAnchor="margin" w:y="2518"/>
      <w:ind w:left="360"/>
      <w:outlineLvl w:val="4"/>
    </w:pPr>
    <w:rPr>
      <w:rFonts w:ascii="Arial" w:eastAsia="Calibri"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584D"/>
    <w:rPr>
      <w:rFonts w:ascii="Arial" w:hAnsi="Arial"/>
      <w:color w:val="0000FF"/>
      <w:sz w:val="24"/>
      <w:u w:val="single"/>
    </w:rPr>
  </w:style>
  <w:style w:type="character" w:styleId="FollowedHyperlink">
    <w:name w:val="FollowedHyperlink"/>
    <w:basedOn w:val="DefaultParagraphFont"/>
    <w:rsid w:val="0088772B"/>
    <w:rPr>
      <w:rFonts w:ascii="Arial" w:hAnsi="Arial"/>
      <w:color w:val="800080"/>
      <w:sz w:val="22"/>
      <w:u w:val="single"/>
    </w:rPr>
  </w:style>
  <w:style w:type="paragraph" w:styleId="BalloonText">
    <w:name w:val="Balloon Text"/>
    <w:basedOn w:val="Normal"/>
    <w:link w:val="BalloonTextChar"/>
    <w:rsid w:val="00482DEB"/>
    <w:pPr>
      <w:widowControl w:val="0"/>
      <w:spacing w:after="200" w:line="276" w:lineRule="auto"/>
    </w:pPr>
    <w:rPr>
      <w:rFonts w:ascii="Tahoma" w:hAnsi="Tahoma" w:cs="Tahoma"/>
      <w:sz w:val="16"/>
      <w:szCs w:val="16"/>
      <w:lang w:val="en-US" w:eastAsia="en-US"/>
    </w:rPr>
  </w:style>
  <w:style w:type="character" w:customStyle="1" w:styleId="BalloonTextChar">
    <w:name w:val="Balloon Text Char"/>
    <w:basedOn w:val="DefaultParagraphFont"/>
    <w:link w:val="BalloonText"/>
    <w:rsid w:val="00482DEB"/>
    <w:rPr>
      <w:rFonts w:ascii="Tahoma" w:hAnsi="Tahoma" w:cs="Tahoma"/>
      <w:sz w:val="16"/>
      <w:szCs w:val="16"/>
      <w:lang w:val="en-US" w:eastAsia="en-US"/>
    </w:rPr>
  </w:style>
  <w:style w:type="paragraph" w:styleId="Header">
    <w:name w:val="header"/>
    <w:basedOn w:val="Normal"/>
    <w:link w:val="HeaderChar"/>
    <w:uiPriority w:val="99"/>
    <w:rsid w:val="00A53ED7"/>
    <w:pPr>
      <w:tabs>
        <w:tab w:val="center" w:pos="4513"/>
        <w:tab w:val="right" w:pos="9026"/>
      </w:tabs>
    </w:pPr>
  </w:style>
  <w:style w:type="character" w:customStyle="1" w:styleId="HeaderChar">
    <w:name w:val="Header Char"/>
    <w:basedOn w:val="DefaultParagraphFont"/>
    <w:link w:val="Header"/>
    <w:uiPriority w:val="99"/>
    <w:rsid w:val="00A53ED7"/>
    <w:rPr>
      <w:sz w:val="24"/>
      <w:szCs w:val="24"/>
    </w:rPr>
  </w:style>
  <w:style w:type="paragraph" w:styleId="Footer">
    <w:name w:val="footer"/>
    <w:basedOn w:val="Normal"/>
    <w:link w:val="FooterChar"/>
    <w:rsid w:val="00A53ED7"/>
    <w:pPr>
      <w:tabs>
        <w:tab w:val="center" w:pos="4513"/>
        <w:tab w:val="right" w:pos="9026"/>
      </w:tabs>
    </w:pPr>
  </w:style>
  <w:style w:type="character" w:customStyle="1" w:styleId="FooterChar">
    <w:name w:val="Footer Char"/>
    <w:basedOn w:val="DefaultParagraphFont"/>
    <w:link w:val="Footer"/>
    <w:rsid w:val="00A53ED7"/>
    <w:rPr>
      <w:sz w:val="24"/>
      <w:szCs w:val="24"/>
    </w:rPr>
  </w:style>
  <w:style w:type="character" w:styleId="CommentReference">
    <w:name w:val="annotation reference"/>
    <w:basedOn w:val="DefaultParagraphFont"/>
    <w:rsid w:val="003351A1"/>
    <w:rPr>
      <w:sz w:val="16"/>
      <w:szCs w:val="16"/>
    </w:rPr>
  </w:style>
  <w:style w:type="paragraph" w:styleId="CommentText">
    <w:name w:val="annotation text"/>
    <w:basedOn w:val="Normal"/>
    <w:link w:val="CommentTextChar"/>
    <w:semiHidden/>
    <w:rsid w:val="003351A1"/>
    <w:rPr>
      <w:sz w:val="20"/>
      <w:szCs w:val="20"/>
    </w:rPr>
  </w:style>
  <w:style w:type="paragraph" w:styleId="CommentSubject">
    <w:name w:val="annotation subject"/>
    <w:basedOn w:val="CommentText"/>
    <w:next w:val="CommentText"/>
    <w:link w:val="CommentSubjectChar"/>
    <w:semiHidden/>
    <w:rsid w:val="003351A1"/>
    <w:rPr>
      <w:b/>
      <w:bCs/>
    </w:rPr>
  </w:style>
  <w:style w:type="character" w:customStyle="1" w:styleId="Heading1Char">
    <w:name w:val="Heading 1 Char"/>
    <w:link w:val="Heading1"/>
    <w:locked/>
    <w:rsid w:val="00515804"/>
    <w:rPr>
      <w:rFonts w:ascii="Arial Bold" w:eastAsia="Calibri" w:hAnsi="Arial Bold" w:cs="Arial"/>
      <w:b/>
      <w:bCs/>
      <w:sz w:val="28"/>
      <w:szCs w:val="24"/>
      <w:lang w:eastAsia="en-US"/>
    </w:rPr>
  </w:style>
  <w:style w:type="character" w:customStyle="1" w:styleId="Heading2Char">
    <w:name w:val="Heading 2 Char"/>
    <w:link w:val="Heading2"/>
    <w:locked/>
    <w:rsid w:val="002D4495"/>
    <w:rPr>
      <w:rFonts w:ascii="Arial" w:eastAsia="Calibri" w:hAnsi="Arial" w:cs="Arial"/>
      <w:b/>
      <w:sz w:val="28"/>
      <w:szCs w:val="24"/>
      <w:lang w:eastAsia="en-US"/>
    </w:rPr>
  </w:style>
  <w:style w:type="character" w:customStyle="1" w:styleId="Heading3Char">
    <w:name w:val="Heading 3 Char"/>
    <w:link w:val="Heading3"/>
    <w:locked/>
    <w:rsid w:val="000163D5"/>
    <w:rPr>
      <w:rFonts w:ascii="Arial" w:eastAsia="Calibri" w:hAnsi="Arial" w:cs="Arial"/>
      <w:b/>
      <w:bCs/>
      <w:i/>
      <w:iCs/>
      <w:sz w:val="24"/>
      <w:szCs w:val="24"/>
      <w:u w:val="single"/>
      <w:lang w:val="en-GB" w:eastAsia="en-US" w:bidi="ar-SA"/>
    </w:rPr>
  </w:style>
  <w:style w:type="character" w:customStyle="1" w:styleId="Heading5Char">
    <w:name w:val="Heading 5 Char"/>
    <w:link w:val="Heading5"/>
    <w:locked/>
    <w:rsid w:val="000163D5"/>
    <w:rPr>
      <w:rFonts w:ascii="Arial" w:eastAsia="Calibri" w:hAnsi="Arial" w:cs="Arial"/>
      <w:sz w:val="24"/>
      <w:szCs w:val="24"/>
      <w:u w:val="single"/>
      <w:lang w:val="en-GB" w:eastAsia="en-US" w:bidi="ar-SA"/>
    </w:rPr>
  </w:style>
  <w:style w:type="paragraph" w:styleId="BodyText">
    <w:name w:val="Body Text"/>
    <w:basedOn w:val="Normal"/>
    <w:link w:val="BodyTextChar"/>
    <w:rsid w:val="000163D5"/>
    <w:pPr>
      <w:framePr w:hSpace="180" w:wrap="around" w:vAnchor="page" w:hAnchor="margin" w:y="898"/>
    </w:pPr>
    <w:rPr>
      <w:rFonts w:ascii="Arial" w:eastAsia="Calibri" w:hAnsi="Arial" w:cs="Arial"/>
      <w:lang w:eastAsia="en-US"/>
    </w:rPr>
  </w:style>
  <w:style w:type="character" w:customStyle="1" w:styleId="BodyTextChar">
    <w:name w:val="Body Text Char"/>
    <w:link w:val="BodyText"/>
    <w:locked/>
    <w:rsid w:val="000163D5"/>
    <w:rPr>
      <w:rFonts w:ascii="Arial" w:eastAsia="Calibri" w:hAnsi="Arial" w:cs="Arial"/>
      <w:sz w:val="24"/>
      <w:szCs w:val="24"/>
      <w:lang w:val="en-GB" w:eastAsia="en-US" w:bidi="ar-SA"/>
    </w:rPr>
  </w:style>
  <w:style w:type="character" w:styleId="PageNumber">
    <w:name w:val="page number"/>
    <w:basedOn w:val="DefaultParagraphFont"/>
    <w:rsid w:val="005412F1"/>
  </w:style>
  <w:style w:type="character" w:customStyle="1" w:styleId="bylinepipe1">
    <w:name w:val="bylinepipe1"/>
    <w:basedOn w:val="DefaultParagraphFont"/>
    <w:rsid w:val="008B7058"/>
    <w:rPr>
      <w:color w:val="666666"/>
    </w:rPr>
  </w:style>
  <w:style w:type="character" w:styleId="Strong">
    <w:name w:val="Strong"/>
    <w:basedOn w:val="DefaultParagraphFont"/>
    <w:qFormat/>
    <w:rsid w:val="009B2CFA"/>
    <w:rPr>
      <w:b/>
      <w:bCs/>
    </w:rPr>
  </w:style>
  <w:style w:type="paragraph" w:styleId="TOC1">
    <w:name w:val="toc 1"/>
    <w:basedOn w:val="Normal"/>
    <w:next w:val="Normal"/>
    <w:autoRedefine/>
    <w:uiPriority w:val="39"/>
    <w:rsid w:val="002D4495"/>
    <w:pPr>
      <w:tabs>
        <w:tab w:val="right" w:leader="dot" w:pos="8493"/>
      </w:tabs>
    </w:pPr>
    <w:rPr>
      <w:rFonts w:ascii="Arial Bold" w:hAnsi="Arial Bold"/>
      <w:b/>
      <w:bCs/>
      <w:noProof/>
      <w:lang w:eastAsia="en-US"/>
    </w:rPr>
  </w:style>
  <w:style w:type="paragraph" w:styleId="TOC2">
    <w:name w:val="toc 2"/>
    <w:basedOn w:val="Normal"/>
    <w:next w:val="Normal"/>
    <w:autoRedefine/>
    <w:uiPriority w:val="39"/>
    <w:rsid w:val="006B73A2"/>
    <w:pPr>
      <w:ind w:left="240"/>
    </w:pPr>
    <w:rPr>
      <w:rFonts w:ascii="Arial" w:hAnsi="Arial"/>
      <w:sz w:val="22"/>
    </w:rPr>
  </w:style>
  <w:style w:type="paragraph" w:customStyle="1" w:styleId="Style1">
    <w:name w:val="Style1"/>
    <w:basedOn w:val="TOC1"/>
    <w:autoRedefine/>
    <w:rsid w:val="006B73A2"/>
    <w:pPr>
      <w:tabs>
        <w:tab w:val="clear" w:pos="8493"/>
        <w:tab w:val="right" w:pos="8487"/>
      </w:tabs>
    </w:pPr>
    <w:rPr>
      <w:rFonts w:cs="Arial"/>
      <w:b w:val="0"/>
      <w:szCs w:val="22"/>
    </w:rPr>
  </w:style>
  <w:style w:type="paragraph" w:customStyle="1" w:styleId="StyleTOC1Linespacing15lines">
    <w:name w:val="Style TOC 1 + Line spacing:  1.5 lines"/>
    <w:basedOn w:val="TOC1"/>
    <w:rsid w:val="00B67A2D"/>
    <w:pPr>
      <w:spacing w:line="360" w:lineRule="auto"/>
    </w:pPr>
    <w:rPr>
      <w:szCs w:val="20"/>
    </w:rPr>
  </w:style>
  <w:style w:type="paragraph" w:styleId="Revision">
    <w:name w:val="Revision"/>
    <w:hidden/>
    <w:uiPriority w:val="99"/>
    <w:semiHidden/>
    <w:rsid w:val="00EF02E7"/>
    <w:rPr>
      <w:sz w:val="24"/>
      <w:szCs w:val="24"/>
    </w:rPr>
  </w:style>
  <w:style w:type="table" w:styleId="TableClassic3">
    <w:name w:val="Table Classic 3"/>
    <w:basedOn w:val="TableNormal"/>
    <w:rsid w:val="00D70D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D70D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D70D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D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C82346"/>
  </w:style>
  <w:style w:type="character" w:customStyle="1" w:styleId="eop">
    <w:name w:val="eop"/>
    <w:basedOn w:val="DefaultParagraphFont"/>
    <w:rsid w:val="00C82346"/>
  </w:style>
  <w:style w:type="paragraph" w:customStyle="1" w:styleId="AWTTCNormal">
    <w:name w:val="AWTTC Normal"/>
    <w:link w:val="AWTTCNormalChar"/>
    <w:qFormat/>
    <w:rsid w:val="00B260F9"/>
    <w:rPr>
      <w:rFonts w:ascii="Arial" w:eastAsiaTheme="minorHAnsi" w:hAnsi="Arial" w:cs="Calibri"/>
      <w:color w:val="000000"/>
      <w:sz w:val="22"/>
      <w:szCs w:val="22"/>
      <w:lang w:eastAsia="en-US"/>
    </w:rPr>
  </w:style>
  <w:style w:type="character" w:customStyle="1" w:styleId="AWTTCNormalChar">
    <w:name w:val="AWTTC Normal Char"/>
    <w:basedOn w:val="DefaultParagraphFont"/>
    <w:link w:val="AWTTCNormal"/>
    <w:rsid w:val="00B260F9"/>
    <w:rPr>
      <w:rFonts w:ascii="Arial" w:eastAsiaTheme="minorHAnsi" w:hAnsi="Arial" w:cs="Calibri"/>
      <w:color w:val="000000"/>
      <w:sz w:val="22"/>
      <w:szCs w:val="22"/>
      <w:lang w:eastAsia="en-US"/>
    </w:rPr>
  </w:style>
  <w:style w:type="paragraph" w:customStyle="1" w:styleId="StyleHeading1CustomColorRGB2091973">
    <w:name w:val="Style Heading 1 + Custom Color(RGB(2091973))"/>
    <w:basedOn w:val="Heading1"/>
    <w:rsid w:val="007C43E8"/>
  </w:style>
  <w:style w:type="paragraph" w:customStyle="1" w:styleId="EndNoteBibliographyTitle">
    <w:name w:val="EndNote Bibliography Title"/>
    <w:basedOn w:val="Normal"/>
    <w:link w:val="EndNoteBibliographyTitleChar"/>
    <w:rsid w:val="000C02E1"/>
    <w:pPr>
      <w:jc w:val="center"/>
    </w:pPr>
    <w:rPr>
      <w:noProof/>
    </w:rPr>
  </w:style>
  <w:style w:type="character" w:customStyle="1" w:styleId="EndNoteBibliographyTitleChar">
    <w:name w:val="EndNote Bibliography Title Char"/>
    <w:basedOn w:val="DefaultParagraphFont"/>
    <w:link w:val="EndNoteBibliographyTitle"/>
    <w:rsid w:val="000C02E1"/>
    <w:rPr>
      <w:noProof/>
      <w:sz w:val="24"/>
      <w:szCs w:val="24"/>
    </w:rPr>
  </w:style>
  <w:style w:type="paragraph" w:customStyle="1" w:styleId="EndNoteBibliography">
    <w:name w:val="EndNote Bibliography"/>
    <w:basedOn w:val="Normal"/>
    <w:link w:val="EndNoteBibliographyChar"/>
    <w:rsid w:val="000C02E1"/>
    <w:rPr>
      <w:noProof/>
    </w:rPr>
  </w:style>
  <w:style w:type="character" w:customStyle="1" w:styleId="EndNoteBibliographyChar">
    <w:name w:val="EndNote Bibliography Char"/>
    <w:basedOn w:val="DefaultParagraphFont"/>
    <w:link w:val="EndNoteBibliography"/>
    <w:rsid w:val="000C02E1"/>
    <w:rPr>
      <w:noProof/>
      <w:sz w:val="24"/>
      <w:szCs w:val="24"/>
    </w:rPr>
  </w:style>
  <w:style w:type="paragraph" w:customStyle="1" w:styleId="StyleEndNoteBibliography">
    <w:name w:val="Style EndNote Bibliography"/>
    <w:basedOn w:val="EndNoteBibliography"/>
    <w:next w:val="EndNoteBibliography"/>
    <w:rsid w:val="00D82F0E"/>
    <w:rPr>
      <w:rFonts w:ascii="Arial" w:hAnsi="Arial"/>
      <w:sz w:val="22"/>
      <w:szCs w:val="20"/>
    </w:rPr>
  </w:style>
  <w:style w:type="paragraph" w:customStyle="1" w:styleId="AWEndNoteBibliography">
    <w:name w:val="AW EndNote Bibliography"/>
    <w:basedOn w:val="EndNoteBibliography"/>
    <w:rsid w:val="00D82F0E"/>
    <w:rPr>
      <w:rFonts w:ascii="Arial" w:hAnsi="Arial"/>
      <w:sz w:val="22"/>
      <w:szCs w:val="20"/>
    </w:rPr>
  </w:style>
  <w:style w:type="paragraph" w:customStyle="1" w:styleId="StyleEndNoteBibliographyLeft0cmHanging127cm">
    <w:name w:val="Style EndNote Bibliography + Left:  0 cm Hanging:  1.27 cm"/>
    <w:basedOn w:val="EndNoteBibliography"/>
    <w:rsid w:val="00D4444E"/>
    <w:rPr>
      <w:rFonts w:ascii="Arial" w:hAnsi="Arial"/>
      <w:sz w:val="22"/>
      <w:szCs w:val="20"/>
    </w:rPr>
  </w:style>
  <w:style w:type="paragraph" w:styleId="TOCHeading">
    <w:name w:val="TOC Heading"/>
    <w:basedOn w:val="Heading1"/>
    <w:next w:val="Normal"/>
    <w:uiPriority w:val="39"/>
    <w:unhideWhenUsed/>
    <w:qFormat/>
    <w:rsid w:val="00D4444E"/>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ListParagraph">
    <w:name w:val="List Paragraph"/>
    <w:basedOn w:val="Normal"/>
    <w:uiPriority w:val="34"/>
    <w:qFormat/>
    <w:rsid w:val="00426664"/>
    <w:pPr>
      <w:ind w:left="720"/>
      <w:contextualSpacing/>
    </w:pPr>
  </w:style>
  <w:style w:type="paragraph" w:styleId="NoSpacing">
    <w:name w:val="No Spacing"/>
    <w:uiPriority w:val="1"/>
    <w:qFormat/>
    <w:rsid w:val="00A171F6"/>
    <w:rPr>
      <w:sz w:val="24"/>
      <w:szCs w:val="24"/>
    </w:rPr>
  </w:style>
  <w:style w:type="paragraph" w:customStyle="1" w:styleId="Default">
    <w:name w:val="Default"/>
    <w:rsid w:val="005D4BDB"/>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1F7CC7"/>
  </w:style>
  <w:style w:type="character" w:customStyle="1" w:styleId="UnresolvedMention1">
    <w:name w:val="Unresolved Mention1"/>
    <w:basedOn w:val="DefaultParagraphFont"/>
    <w:uiPriority w:val="99"/>
    <w:semiHidden/>
    <w:unhideWhenUsed/>
    <w:rsid w:val="00DE0495"/>
    <w:rPr>
      <w:color w:val="605E5C"/>
      <w:shd w:val="clear" w:color="auto" w:fill="E1DFDD"/>
    </w:rPr>
  </w:style>
  <w:style w:type="paragraph" w:customStyle="1" w:styleId="StyleEndNoteBibliographyLeft0cmHanging127cm1">
    <w:name w:val="Style EndNote Bibliography + Left:  0 cm Hanging:  1.27 cm1"/>
    <w:basedOn w:val="EndNoteBibliography"/>
    <w:rsid w:val="007D67DB"/>
    <w:pPr>
      <w:ind w:left="720" w:hanging="720"/>
    </w:pPr>
    <w:rPr>
      <w:rFonts w:ascii="Arial" w:hAnsi="Arial"/>
      <w:sz w:val="22"/>
      <w:szCs w:val="20"/>
    </w:rPr>
  </w:style>
  <w:style w:type="character" w:customStyle="1" w:styleId="CommentSubjectChar">
    <w:name w:val="Comment Subject Char"/>
    <w:basedOn w:val="CommentTextChar"/>
    <w:link w:val="CommentSubject"/>
    <w:semiHidden/>
    <w:rsid w:val="00284C35"/>
    <w:rPr>
      <w:b/>
      <w:bCs/>
    </w:rPr>
  </w:style>
  <w:style w:type="paragraph" w:styleId="EndnoteText">
    <w:name w:val="endnote text"/>
    <w:basedOn w:val="Normal"/>
    <w:link w:val="EndnoteTextChar"/>
    <w:semiHidden/>
    <w:unhideWhenUsed/>
    <w:rsid w:val="00284C35"/>
    <w:rPr>
      <w:sz w:val="20"/>
      <w:szCs w:val="20"/>
    </w:rPr>
  </w:style>
  <w:style w:type="character" w:customStyle="1" w:styleId="EndnoteTextChar">
    <w:name w:val="Endnote Text Char"/>
    <w:basedOn w:val="DefaultParagraphFont"/>
    <w:link w:val="EndnoteText"/>
    <w:semiHidden/>
    <w:rsid w:val="00284C35"/>
  </w:style>
  <w:style w:type="character" w:styleId="EndnoteReference">
    <w:name w:val="endnote reference"/>
    <w:basedOn w:val="DefaultParagraphFont"/>
    <w:semiHidden/>
    <w:unhideWhenUsed/>
    <w:rsid w:val="00284C35"/>
    <w:rPr>
      <w:vertAlign w:val="superscript"/>
    </w:rPr>
  </w:style>
  <w:style w:type="paragraph" w:customStyle="1" w:styleId="StyleHeading1Linespacing15lines">
    <w:name w:val="Style Heading 1 + Line spacing:  1.5 lines"/>
    <w:basedOn w:val="Heading1"/>
    <w:rsid w:val="00284C35"/>
    <w:pPr>
      <w:spacing w:line="360" w:lineRule="auto"/>
    </w:pPr>
    <w:rPr>
      <w:rFonts w:eastAsia="Times New Roman" w:cs="Times New Roman"/>
      <w:szCs w:val="20"/>
    </w:rPr>
  </w:style>
  <w:style w:type="character" w:styleId="LineNumber">
    <w:name w:val="line number"/>
    <w:basedOn w:val="DefaultParagraphFont"/>
    <w:semiHidden/>
    <w:unhideWhenUsed/>
    <w:rsid w:val="00284C35"/>
  </w:style>
  <w:style w:type="paragraph" w:customStyle="1" w:styleId="Hyperlinkfollowed">
    <w:name w:val="Hyperlink followed"/>
    <w:basedOn w:val="Normal"/>
    <w:next w:val="Normal"/>
    <w:qFormat/>
    <w:rsid w:val="00284C35"/>
    <w:rPr>
      <w:rFonts w:ascii="Arial" w:hAnsi="Arial" w:cs="Arial"/>
      <w:sz w:val="18"/>
      <w:szCs w:val="18"/>
    </w:rPr>
  </w:style>
  <w:style w:type="character" w:styleId="UnresolvedMention">
    <w:name w:val="Unresolved Mention"/>
    <w:basedOn w:val="DefaultParagraphFont"/>
    <w:uiPriority w:val="99"/>
    <w:semiHidden/>
    <w:unhideWhenUsed/>
    <w:rsid w:val="00D7464F"/>
    <w:rPr>
      <w:color w:val="605E5C"/>
      <w:shd w:val="clear" w:color="auto" w:fill="E1DFDD"/>
    </w:rPr>
  </w:style>
  <w:style w:type="paragraph" w:customStyle="1" w:styleId="StyleEndNoteBibliographyLeft0cmHanging127cm2">
    <w:name w:val="Style EndNote Bibliography + Left:  0 cm Hanging:  1.27 cm2"/>
    <w:basedOn w:val="EndNoteBibliography"/>
    <w:rsid w:val="00FE3E6F"/>
    <w:pPr>
      <w:ind w:left="720" w:hanging="720"/>
    </w:pPr>
    <w:rPr>
      <w:rFonts w:ascii="Arial" w:hAnsi="Arial"/>
      <w:szCs w:val="20"/>
    </w:rPr>
  </w:style>
  <w:style w:type="paragraph" w:customStyle="1" w:styleId="StyleEndNoteBibliographyLeft0cmHanging127cm3">
    <w:name w:val="Style EndNote Bibliography + Left:  0 cm Hanging:  1.27 cm3"/>
    <w:basedOn w:val="EndNoteBibliography"/>
    <w:rsid w:val="004078ED"/>
    <w:pPr>
      <w:ind w:left="720" w:hanging="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685">
      <w:bodyDiv w:val="1"/>
      <w:marLeft w:val="0"/>
      <w:marRight w:val="0"/>
      <w:marTop w:val="0"/>
      <w:marBottom w:val="0"/>
      <w:divBdr>
        <w:top w:val="none" w:sz="0" w:space="0" w:color="auto"/>
        <w:left w:val="none" w:sz="0" w:space="0" w:color="auto"/>
        <w:bottom w:val="none" w:sz="0" w:space="0" w:color="auto"/>
        <w:right w:val="none" w:sz="0" w:space="0" w:color="auto"/>
      </w:divBdr>
    </w:div>
    <w:div w:id="200364001">
      <w:bodyDiv w:val="1"/>
      <w:marLeft w:val="0"/>
      <w:marRight w:val="0"/>
      <w:marTop w:val="0"/>
      <w:marBottom w:val="0"/>
      <w:divBdr>
        <w:top w:val="none" w:sz="0" w:space="0" w:color="auto"/>
        <w:left w:val="none" w:sz="0" w:space="0" w:color="auto"/>
        <w:bottom w:val="none" w:sz="0" w:space="0" w:color="auto"/>
        <w:right w:val="none" w:sz="0" w:space="0" w:color="auto"/>
      </w:divBdr>
    </w:div>
    <w:div w:id="277759865">
      <w:bodyDiv w:val="1"/>
      <w:marLeft w:val="0"/>
      <w:marRight w:val="0"/>
      <w:marTop w:val="0"/>
      <w:marBottom w:val="0"/>
      <w:divBdr>
        <w:top w:val="none" w:sz="0" w:space="0" w:color="auto"/>
        <w:left w:val="none" w:sz="0" w:space="0" w:color="auto"/>
        <w:bottom w:val="none" w:sz="0" w:space="0" w:color="auto"/>
        <w:right w:val="none" w:sz="0" w:space="0" w:color="auto"/>
      </w:divBdr>
      <w:divsChild>
        <w:div w:id="539900355">
          <w:marLeft w:val="0"/>
          <w:marRight w:val="0"/>
          <w:marTop w:val="0"/>
          <w:marBottom w:val="0"/>
          <w:divBdr>
            <w:top w:val="none" w:sz="0" w:space="0" w:color="auto"/>
            <w:left w:val="none" w:sz="0" w:space="0" w:color="auto"/>
            <w:bottom w:val="none" w:sz="0" w:space="0" w:color="auto"/>
            <w:right w:val="none" w:sz="0" w:space="0" w:color="auto"/>
          </w:divBdr>
        </w:div>
      </w:divsChild>
    </w:div>
    <w:div w:id="1241985758">
      <w:bodyDiv w:val="1"/>
      <w:marLeft w:val="0"/>
      <w:marRight w:val="0"/>
      <w:marTop w:val="0"/>
      <w:marBottom w:val="0"/>
      <w:divBdr>
        <w:top w:val="none" w:sz="0" w:space="0" w:color="auto"/>
        <w:left w:val="none" w:sz="0" w:space="0" w:color="auto"/>
        <w:bottom w:val="none" w:sz="0" w:space="0" w:color="auto"/>
        <w:right w:val="none" w:sz="0" w:space="0" w:color="auto"/>
      </w:divBdr>
    </w:div>
    <w:div w:id="1305161096">
      <w:bodyDiv w:val="1"/>
      <w:marLeft w:val="0"/>
      <w:marRight w:val="0"/>
      <w:marTop w:val="0"/>
      <w:marBottom w:val="0"/>
      <w:divBdr>
        <w:top w:val="none" w:sz="0" w:space="0" w:color="auto"/>
        <w:left w:val="none" w:sz="0" w:space="0" w:color="auto"/>
        <w:bottom w:val="none" w:sz="0" w:space="0" w:color="auto"/>
        <w:right w:val="none" w:sz="0" w:space="0" w:color="auto"/>
      </w:divBdr>
    </w:div>
    <w:div w:id="1338121770">
      <w:bodyDiv w:val="1"/>
      <w:marLeft w:val="0"/>
      <w:marRight w:val="0"/>
      <w:marTop w:val="0"/>
      <w:marBottom w:val="0"/>
      <w:divBdr>
        <w:top w:val="none" w:sz="0" w:space="0" w:color="auto"/>
        <w:left w:val="none" w:sz="0" w:space="0" w:color="auto"/>
        <w:bottom w:val="none" w:sz="0" w:space="0" w:color="auto"/>
        <w:right w:val="none" w:sz="0" w:space="0" w:color="auto"/>
      </w:divBdr>
      <w:divsChild>
        <w:div w:id="1382553750">
          <w:marLeft w:val="0"/>
          <w:marRight w:val="0"/>
          <w:marTop w:val="0"/>
          <w:marBottom w:val="0"/>
          <w:divBdr>
            <w:top w:val="none" w:sz="0" w:space="0" w:color="auto"/>
            <w:left w:val="none" w:sz="0" w:space="0" w:color="auto"/>
            <w:bottom w:val="none" w:sz="0" w:space="0" w:color="auto"/>
            <w:right w:val="none" w:sz="0" w:space="0" w:color="auto"/>
          </w:divBdr>
          <w:divsChild>
            <w:div w:id="638654391">
              <w:marLeft w:val="0"/>
              <w:marRight w:val="0"/>
              <w:marTop w:val="0"/>
              <w:marBottom w:val="0"/>
              <w:divBdr>
                <w:top w:val="none" w:sz="0" w:space="0" w:color="auto"/>
                <w:left w:val="none" w:sz="0" w:space="0" w:color="auto"/>
                <w:bottom w:val="none" w:sz="0" w:space="0" w:color="auto"/>
                <w:right w:val="none" w:sz="0" w:space="0" w:color="auto"/>
              </w:divBdr>
            </w:div>
            <w:div w:id="1054700106">
              <w:marLeft w:val="0"/>
              <w:marRight w:val="0"/>
              <w:marTop w:val="0"/>
              <w:marBottom w:val="0"/>
              <w:divBdr>
                <w:top w:val="none" w:sz="0" w:space="0" w:color="auto"/>
                <w:left w:val="none" w:sz="0" w:space="0" w:color="auto"/>
                <w:bottom w:val="none" w:sz="0" w:space="0" w:color="auto"/>
                <w:right w:val="none" w:sz="0" w:space="0" w:color="auto"/>
              </w:divBdr>
            </w:div>
            <w:div w:id="18970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0551">
      <w:bodyDiv w:val="1"/>
      <w:marLeft w:val="0"/>
      <w:marRight w:val="0"/>
      <w:marTop w:val="0"/>
      <w:marBottom w:val="0"/>
      <w:divBdr>
        <w:top w:val="none" w:sz="0" w:space="0" w:color="auto"/>
        <w:left w:val="none" w:sz="0" w:space="0" w:color="auto"/>
        <w:bottom w:val="none" w:sz="0" w:space="0" w:color="auto"/>
        <w:right w:val="none" w:sz="0" w:space="0" w:color="auto"/>
      </w:divBdr>
    </w:div>
    <w:div w:id="1370185969">
      <w:bodyDiv w:val="1"/>
      <w:marLeft w:val="0"/>
      <w:marRight w:val="0"/>
      <w:marTop w:val="0"/>
      <w:marBottom w:val="0"/>
      <w:divBdr>
        <w:top w:val="none" w:sz="0" w:space="0" w:color="auto"/>
        <w:left w:val="none" w:sz="0" w:space="0" w:color="auto"/>
        <w:bottom w:val="none" w:sz="0" w:space="0" w:color="auto"/>
        <w:right w:val="none" w:sz="0" w:space="0" w:color="auto"/>
      </w:divBdr>
    </w:div>
    <w:div w:id="1425149369">
      <w:bodyDiv w:val="1"/>
      <w:marLeft w:val="0"/>
      <w:marRight w:val="0"/>
      <w:marTop w:val="0"/>
      <w:marBottom w:val="0"/>
      <w:divBdr>
        <w:top w:val="none" w:sz="0" w:space="0" w:color="auto"/>
        <w:left w:val="none" w:sz="0" w:space="0" w:color="auto"/>
        <w:bottom w:val="none" w:sz="0" w:space="0" w:color="auto"/>
        <w:right w:val="none" w:sz="0" w:space="0" w:color="auto"/>
      </w:divBdr>
    </w:div>
    <w:div w:id="1429620715">
      <w:bodyDiv w:val="1"/>
      <w:marLeft w:val="0"/>
      <w:marRight w:val="0"/>
      <w:marTop w:val="0"/>
      <w:marBottom w:val="0"/>
      <w:divBdr>
        <w:top w:val="none" w:sz="0" w:space="0" w:color="auto"/>
        <w:left w:val="none" w:sz="0" w:space="0" w:color="auto"/>
        <w:bottom w:val="none" w:sz="0" w:space="0" w:color="auto"/>
        <w:right w:val="none" w:sz="0" w:space="0" w:color="auto"/>
      </w:divBdr>
      <w:divsChild>
        <w:div w:id="1852527557">
          <w:marLeft w:val="0"/>
          <w:marRight w:val="0"/>
          <w:marTop w:val="0"/>
          <w:marBottom w:val="0"/>
          <w:divBdr>
            <w:top w:val="none" w:sz="0" w:space="0" w:color="auto"/>
            <w:left w:val="none" w:sz="0" w:space="0" w:color="auto"/>
            <w:bottom w:val="none" w:sz="0" w:space="0" w:color="auto"/>
            <w:right w:val="none" w:sz="0" w:space="0" w:color="auto"/>
          </w:divBdr>
          <w:divsChild>
            <w:div w:id="1744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827">
      <w:bodyDiv w:val="1"/>
      <w:marLeft w:val="0"/>
      <w:marRight w:val="0"/>
      <w:marTop w:val="0"/>
      <w:marBottom w:val="0"/>
      <w:divBdr>
        <w:top w:val="none" w:sz="0" w:space="0" w:color="auto"/>
        <w:left w:val="none" w:sz="0" w:space="0" w:color="auto"/>
        <w:bottom w:val="none" w:sz="0" w:space="0" w:color="auto"/>
        <w:right w:val="none" w:sz="0" w:space="0" w:color="auto"/>
      </w:divBdr>
    </w:div>
    <w:div w:id="1842810656">
      <w:bodyDiv w:val="1"/>
      <w:marLeft w:val="0"/>
      <w:marRight w:val="0"/>
      <w:marTop w:val="0"/>
      <w:marBottom w:val="0"/>
      <w:divBdr>
        <w:top w:val="none" w:sz="0" w:space="0" w:color="auto"/>
        <w:left w:val="none" w:sz="0" w:space="0" w:color="auto"/>
        <w:bottom w:val="none" w:sz="0" w:space="0" w:color="auto"/>
        <w:right w:val="none" w:sz="0" w:space="0" w:color="auto"/>
      </w:divBdr>
      <w:divsChild>
        <w:div w:id="73211278">
          <w:marLeft w:val="1800"/>
          <w:marRight w:val="0"/>
          <w:marTop w:val="96"/>
          <w:marBottom w:val="0"/>
          <w:divBdr>
            <w:top w:val="none" w:sz="0" w:space="0" w:color="auto"/>
            <w:left w:val="none" w:sz="0" w:space="0" w:color="auto"/>
            <w:bottom w:val="none" w:sz="0" w:space="0" w:color="auto"/>
            <w:right w:val="none" w:sz="0" w:space="0" w:color="auto"/>
          </w:divBdr>
        </w:div>
        <w:div w:id="311952141">
          <w:marLeft w:val="1166"/>
          <w:marRight w:val="0"/>
          <w:marTop w:val="96"/>
          <w:marBottom w:val="0"/>
          <w:divBdr>
            <w:top w:val="none" w:sz="0" w:space="0" w:color="auto"/>
            <w:left w:val="none" w:sz="0" w:space="0" w:color="auto"/>
            <w:bottom w:val="none" w:sz="0" w:space="0" w:color="auto"/>
            <w:right w:val="none" w:sz="0" w:space="0" w:color="auto"/>
          </w:divBdr>
        </w:div>
        <w:div w:id="335956827">
          <w:marLeft w:val="1800"/>
          <w:marRight w:val="0"/>
          <w:marTop w:val="96"/>
          <w:marBottom w:val="0"/>
          <w:divBdr>
            <w:top w:val="none" w:sz="0" w:space="0" w:color="auto"/>
            <w:left w:val="none" w:sz="0" w:space="0" w:color="auto"/>
            <w:bottom w:val="none" w:sz="0" w:space="0" w:color="auto"/>
            <w:right w:val="none" w:sz="0" w:space="0" w:color="auto"/>
          </w:divBdr>
        </w:div>
        <w:div w:id="497577958">
          <w:marLeft w:val="1800"/>
          <w:marRight w:val="0"/>
          <w:marTop w:val="96"/>
          <w:marBottom w:val="0"/>
          <w:divBdr>
            <w:top w:val="none" w:sz="0" w:space="0" w:color="auto"/>
            <w:left w:val="none" w:sz="0" w:space="0" w:color="auto"/>
            <w:bottom w:val="none" w:sz="0" w:space="0" w:color="auto"/>
            <w:right w:val="none" w:sz="0" w:space="0" w:color="auto"/>
          </w:divBdr>
        </w:div>
        <w:div w:id="773981632">
          <w:marLeft w:val="547"/>
          <w:marRight w:val="0"/>
          <w:marTop w:val="115"/>
          <w:marBottom w:val="0"/>
          <w:divBdr>
            <w:top w:val="none" w:sz="0" w:space="0" w:color="auto"/>
            <w:left w:val="none" w:sz="0" w:space="0" w:color="auto"/>
            <w:bottom w:val="none" w:sz="0" w:space="0" w:color="auto"/>
            <w:right w:val="none" w:sz="0" w:space="0" w:color="auto"/>
          </w:divBdr>
        </w:div>
        <w:div w:id="898636242">
          <w:marLeft w:val="547"/>
          <w:marRight w:val="0"/>
          <w:marTop w:val="115"/>
          <w:marBottom w:val="0"/>
          <w:divBdr>
            <w:top w:val="none" w:sz="0" w:space="0" w:color="auto"/>
            <w:left w:val="none" w:sz="0" w:space="0" w:color="auto"/>
            <w:bottom w:val="none" w:sz="0" w:space="0" w:color="auto"/>
            <w:right w:val="none" w:sz="0" w:space="0" w:color="auto"/>
          </w:divBdr>
        </w:div>
        <w:div w:id="1121152257">
          <w:marLeft w:val="1800"/>
          <w:marRight w:val="0"/>
          <w:marTop w:val="96"/>
          <w:marBottom w:val="0"/>
          <w:divBdr>
            <w:top w:val="none" w:sz="0" w:space="0" w:color="auto"/>
            <w:left w:val="none" w:sz="0" w:space="0" w:color="auto"/>
            <w:bottom w:val="none" w:sz="0" w:space="0" w:color="auto"/>
            <w:right w:val="none" w:sz="0" w:space="0" w:color="auto"/>
          </w:divBdr>
        </w:div>
        <w:div w:id="1470515865">
          <w:marLeft w:val="547"/>
          <w:marRight w:val="0"/>
          <w:marTop w:val="115"/>
          <w:marBottom w:val="0"/>
          <w:divBdr>
            <w:top w:val="none" w:sz="0" w:space="0" w:color="auto"/>
            <w:left w:val="none" w:sz="0" w:space="0" w:color="auto"/>
            <w:bottom w:val="none" w:sz="0" w:space="0" w:color="auto"/>
            <w:right w:val="none" w:sz="0" w:space="0" w:color="auto"/>
          </w:divBdr>
        </w:div>
        <w:div w:id="1698115372">
          <w:marLeft w:val="1800"/>
          <w:marRight w:val="0"/>
          <w:marTop w:val="96"/>
          <w:marBottom w:val="0"/>
          <w:divBdr>
            <w:top w:val="none" w:sz="0" w:space="0" w:color="auto"/>
            <w:left w:val="none" w:sz="0" w:space="0" w:color="auto"/>
            <w:bottom w:val="none" w:sz="0" w:space="0" w:color="auto"/>
            <w:right w:val="none" w:sz="0" w:space="0" w:color="auto"/>
          </w:divBdr>
        </w:div>
        <w:div w:id="1880429426">
          <w:marLeft w:val="1800"/>
          <w:marRight w:val="0"/>
          <w:marTop w:val="96"/>
          <w:marBottom w:val="0"/>
          <w:divBdr>
            <w:top w:val="none" w:sz="0" w:space="0" w:color="auto"/>
            <w:left w:val="none" w:sz="0" w:space="0" w:color="auto"/>
            <w:bottom w:val="none" w:sz="0" w:space="0" w:color="auto"/>
            <w:right w:val="none" w:sz="0" w:space="0" w:color="auto"/>
          </w:divBdr>
        </w:div>
      </w:divsChild>
    </w:div>
    <w:div w:id="2035111943">
      <w:bodyDiv w:val="1"/>
      <w:marLeft w:val="0"/>
      <w:marRight w:val="0"/>
      <w:marTop w:val="0"/>
      <w:marBottom w:val="0"/>
      <w:divBdr>
        <w:top w:val="none" w:sz="0" w:space="0" w:color="auto"/>
        <w:left w:val="none" w:sz="0" w:space="0" w:color="auto"/>
        <w:bottom w:val="none" w:sz="0" w:space="0" w:color="auto"/>
        <w:right w:val="none" w:sz="0" w:space="0" w:color="auto"/>
      </w:divBdr>
    </w:div>
    <w:div w:id="20720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opioid-medicines-and-the-risk-of-addi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pm.ac.uk/opioids-aware-structured-approach-opioid-prescribing/tapering-and-stopping" TargetMode="External"/><Relationship Id="rId4" Type="http://schemas.openxmlformats.org/officeDocument/2006/relationships/settings" Target="settings.xml"/><Relationship Id="rId9" Type="http://schemas.openxmlformats.org/officeDocument/2006/relationships/hyperlink" Target="http://www.mhra.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5413-E86F-486D-94EE-BC45197B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All Wales Audit:</vt:lpstr>
    </vt:vector>
  </TitlesOfParts>
  <Company>C&amp;V-TR</Company>
  <LinksUpToDate>false</LinksUpToDate>
  <CharactersWithSpaces>10020</CharactersWithSpaces>
  <SharedDoc>false</SharedDoc>
  <HLinks>
    <vt:vector size="270" baseType="variant">
      <vt:variant>
        <vt:i4>131167</vt:i4>
      </vt:variant>
      <vt:variant>
        <vt:i4>308</vt:i4>
      </vt:variant>
      <vt:variant>
        <vt:i4>0</vt:i4>
      </vt:variant>
      <vt:variant>
        <vt:i4>5</vt:i4>
      </vt:variant>
      <vt:variant>
        <vt:lpwstr>http://www.britishpainsociety.org/book_opioid_main.pdf</vt:lpwstr>
      </vt:variant>
      <vt:variant>
        <vt:lpwstr/>
      </vt:variant>
      <vt:variant>
        <vt:i4>7405639</vt:i4>
      </vt:variant>
      <vt:variant>
        <vt:i4>305</vt:i4>
      </vt:variant>
      <vt:variant>
        <vt:i4>0</vt:i4>
      </vt:variant>
      <vt:variant>
        <vt:i4>5</vt:i4>
      </vt:variant>
      <vt:variant>
        <vt:lpwstr>http://www.google.co.uk/url?q=http://bma.org.uk/-/media/Files/Word%2520files/News%2520views%2520analysis/pressbriefing_uk%2520medical%2520workforce.doc&amp;sa=U&amp;ei=nQdxUvnWNc6QhQfvhYCoDw&amp;ved=0CBsQFjAA&amp;usg=AFQjCNGUDEf1VvoCuWDf9k6vJIRq0QNb0Q</vt:lpwstr>
      </vt:variant>
      <vt:variant>
        <vt:lpwstr/>
      </vt:variant>
      <vt:variant>
        <vt:i4>6291555</vt:i4>
      </vt:variant>
      <vt:variant>
        <vt:i4>302</vt:i4>
      </vt:variant>
      <vt:variant>
        <vt:i4>0</vt:i4>
      </vt:variant>
      <vt:variant>
        <vt:i4>5</vt:i4>
      </vt:variant>
      <vt:variant>
        <vt:lpwstr>http://wales.gov.uk/docs/statistics/2011/110616gpdemographicen.xls</vt:lpwstr>
      </vt:variant>
      <vt:variant>
        <vt:lpwstr/>
      </vt:variant>
      <vt:variant>
        <vt:i4>4915226</vt:i4>
      </vt:variant>
      <vt:variant>
        <vt:i4>299</vt:i4>
      </vt:variant>
      <vt:variant>
        <vt:i4>0</vt:i4>
      </vt:variant>
      <vt:variant>
        <vt:i4>5</vt:i4>
      </vt:variant>
      <vt:variant>
        <vt:lpwstr>http://www.mhra.gov.uk/home/groups/pl-p/documents/websiteresources/con2023218.pdf</vt:lpwstr>
      </vt:variant>
      <vt:variant>
        <vt:lpwstr/>
      </vt:variant>
      <vt:variant>
        <vt:i4>3145763</vt:i4>
      </vt:variant>
      <vt:variant>
        <vt:i4>296</vt:i4>
      </vt:variant>
      <vt:variant>
        <vt:i4>0</vt:i4>
      </vt:variant>
      <vt:variant>
        <vt:i4>5</vt:i4>
      </vt:variant>
      <vt:variant>
        <vt:lpwstr>http://www.ncbi.nlm.nih.gov/pubmed/11034754</vt:lpwstr>
      </vt:variant>
      <vt:variant>
        <vt:lpwstr/>
      </vt:variant>
      <vt:variant>
        <vt:i4>5439552</vt:i4>
      </vt:variant>
      <vt:variant>
        <vt:i4>293</vt:i4>
      </vt:variant>
      <vt:variant>
        <vt:i4>0</vt:i4>
      </vt:variant>
      <vt:variant>
        <vt:i4>5</vt:i4>
      </vt:variant>
      <vt:variant>
        <vt:lpwstr>http://www.medicine.ox.ac.uk/bandolier/booth/painpag/Acutrev/Analgesics/Leagtab.html</vt:lpwstr>
      </vt:variant>
      <vt:variant>
        <vt:lpwstr/>
      </vt:variant>
      <vt:variant>
        <vt:i4>524362</vt:i4>
      </vt:variant>
      <vt:variant>
        <vt:i4>290</vt:i4>
      </vt:variant>
      <vt:variant>
        <vt:i4>0</vt:i4>
      </vt:variant>
      <vt:variant>
        <vt:i4>5</vt:i4>
      </vt:variant>
      <vt:variant>
        <vt:lpwstr>https://www.gov.uk/government/consultations/scheduling-of-tramadol-and-exemptions-for-temazepam-prescriptions</vt:lpwstr>
      </vt:variant>
      <vt:variant>
        <vt:lpwstr/>
      </vt:variant>
      <vt:variant>
        <vt:i4>393329</vt:i4>
      </vt:variant>
      <vt:variant>
        <vt:i4>287</vt:i4>
      </vt:variant>
      <vt:variant>
        <vt:i4>0</vt:i4>
      </vt:variant>
      <vt:variant>
        <vt:i4>5</vt:i4>
      </vt:variant>
      <vt:variant>
        <vt:lpwstr>http://www.hpa.org.uk/webc/HPAwebFile/HPAweb_C/1317139808601</vt:lpwstr>
      </vt:variant>
      <vt:variant>
        <vt:lpwstr/>
      </vt:variant>
      <vt:variant>
        <vt:i4>1572950</vt:i4>
      </vt:variant>
      <vt:variant>
        <vt:i4>284</vt:i4>
      </vt:variant>
      <vt:variant>
        <vt:i4>0</vt:i4>
      </vt:variant>
      <vt:variant>
        <vt:i4>5</vt:i4>
      </vt:variant>
      <vt:variant>
        <vt:lpwstr>http://www.ons.gov.uk/ons/rel/subnational-health3/deaths-related-to-drug-poisoning/2012/stb---deaths-related-to-drug-poisoning-2012.html</vt:lpwstr>
      </vt:variant>
      <vt:variant>
        <vt:lpwstr/>
      </vt:variant>
      <vt:variant>
        <vt:i4>3407918</vt:i4>
      </vt:variant>
      <vt:variant>
        <vt:i4>281</vt:i4>
      </vt:variant>
      <vt:variant>
        <vt:i4>0</vt:i4>
      </vt:variant>
      <vt:variant>
        <vt:i4>5</vt:i4>
      </vt:variant>
      <vt:variant>
        <vt:lpwstr>http://www.ncbi.nlm.nih.gov/pubmed/12633909</vt:lpwstr>
      </vt:variant>
      <vt:variant>
        <vt:lpwstr/>
      </vt:variant>
      <vt:variant>
        <vt:i4>5308486</vt:i4>
      </vt:variant>
      <vt:variant>
        <vt:i4>278</vt:i4>
      </vt:variant>
      <vt:variant>
        <vt:i4>0</vt:i4>
      </vt:variant>
      <vt:variant>
        <vt:i4>5</vt:i4>
      </vt:variant>
      <vt:variant>
        <vt:lpwstr>http://www.dailymail.co.uk/health/article-2305936/Tramadol-When-safe-option-painkiller-turns-lethal.html</vt:lpwstr>
      </vt:variant>
      <vt:variant>
        <vt:lpwstr/>
      </vt:variant>
      <vt:variant>
        <vt:i4>8323178</vt:i4>
      </vt:variant>
      <vt:variant>
        <vt:i4>275</vt:i4>
      </vt:variant>
      <vt:variant>
        <vt:i4>0</vt:i4>
      </vt:variant>
      <vt:variant>
        <vt:i4>5</vt:i4>
      </vt:variant>
      <vt:variant>
        <vt:lpwstr>http://www.theguardian.com/science/2013/jul/22/tramadol-painkiller-ban-sale-considered</vt:lpwstr>
      </vt:variant>
      <vt:variant>
        <vt:lpwstr/>
      </vt:variant>
      <vt:variant>
        <vt:i4>5308500</vt:i4>
      </vt:variant>
      <vt:variant>
        <vt:i4>272</vt:i4>
      </vt:variant>
      <vt:variant>
        <vt:i4>0</vt:i4>
      </vt:variant>
      <vt:variant>
        <vt:i4>5</vt:i4>
      </vt:variant>
      <vt:variant>
        <vt:lpwstr>http://www.bbc.co.uk/news/uk-21540677</vt:lpwstr>
      </vt:variant>
      <vt:variant>
        <vt:lpwstr/>
      </vt:variant>
      <vt:variant>
        <vt:i4>7733270</vt:i4>
      </vt:variant>
      <vt:variant>
        <vt:i4>269</vt:i4>
      </vt:variant>
      <vt:variant>
        <vt:i4>0</vt:i4>
      </vt:variant>
      <vt:variant>
        <vt:i4>5</vt:i4>
      </vt:variant>
      <vt:variant>
        <vt:lpwstr>https://www.gov.uk/government/uploads/system/uploads/attachment_data/file/144116/advice-tramadol.pdf</vt:lpwstr>
      </vt:variant>
      <vt:variant>
        <vt:lpwstr/>
      </vt:variant>
      <vt:variant>
        <vt:i4>3145789</vt:i4>
      </vt:variant>
      <vt:variant>
        <vt:i4>249</vt:i4>
      </vt:variant>
      <vt:variant>
        <vt:i4>0</vt:i4>
      </vt:variant>
      <vt:variant>
        <vt:i4>5</vt:i4>
      </vt:variant>
      <vt:variant>
        <vt:lpwstr>http://www.mhra.gov.uk/</vt:lpwstr>
      </vt:variant>
      <vt:variant>
        <vt:lpwstr/>
      </vt:variant>
      <vt:variant>
        <vt:i4>3145789</vt:i4>
      </vt:variant>
      <vt:variant>
        <vt:i4>231</vt:i4>
      </vt:variant>
      <vt:variant>
        <vt:i4>0</vt:i4>
      </vt:variant>
      <vt:variant>
        <vt:i4>5</vt:i4>
      </vt:variant>
      <vt:variant>
        <vt:lpwstr>http://www.mhra.gov.uk/</vt:lpwstr>
      </vt:variant>
      <vt:variant>
        <vt:lpwstr/>
      </vt:variant>
      <vt:variant>
        <vt:i4>3145789</vt:i4>
      </vt:variant>
      <vt:variant>
        <vt:i4>213</vt:i4>
      </vt:variant>
      <vt:variant>
        <vt:i4>0</vt:i4>
      </vt:variant>
      <vt:variant>
        <vt:i4>5</vt:i4>
      </vt:variant>
      <vt:variant>
        <vt:lpwstr>http://www.mhra.gov.uk/</vt:lpwstr>
      </vt:variant>
      <vt:variant>
        <vt:lpwstr/>
      </vt:variant>
      <vt:variant>
        <vt:i4>2097267</vt:i4>
      </vt:variant>
      <vt:variant>
        <vt:i4>207</vt:i4>
      </vt:variant>
      <vt:variant>
        <vt:i4>0</vt:i4>
      </vt:variant>
      <vt:variant>
        <vt:i4>5</vt:i4>
      </vt:variant>
      <vt:variant>
        <vt:lpwstr>http://www.yellowcardwales.org/</vt:lpwstr>
      </vt:variant>
      <vt:variant>
        <vt:lpwstr/>
      </vt:variant>
      <vt:variant>
        <vt:i4>2424878</vt:i4>
      </vt:variant>
      <vt:variant>
        <vt:i4>204</vt:i4>
      </vt:variant>
      <vt:variant>
        <vt:i4>0</vt:i4>
      </vt:variant>
      <vt:variant>
        <vt:i4>5</vt:i4>
      </vt:variant>
      <vt:variant>
        <vt:lpwstr>http://www.npcrc.org/usr_doc/adhoc/painsymptom/briefpain_short.pdf</vt:lpwstr>
      </vt:variant>
      <vt:variant>
        <vt:lpwstr/>
      </vt:variant>
      <vt:variant>
        <vt:i4>3932218</vt:i4>
      </vt:variant>
      <vt:variant>
        <vt:i4>201</vt:i4>
      </vt:variant>
      <vt:variant>
        <vt:i4>0</vt:i4>
      </vt:variant>
      <vt:variant>
        <vt:i4>5</vt:i4>
      </vt:variant>
      <vt:variant>
        <vt:lpwstr>http://www.welshbacks.com/</vt:lpwstr>
      </vt:variant>
      <vt:variant>
        <vt:lpwstr/>
      </vt:variant>
      <vt:variant>
        <vt:i4>458816</vt:i4>
      </vt:variant>
      <vt:variant>
        <vt:i4>198</vt:i4>
      </vt:variant>
      <vt:variant>
        <vt:i4>0</vt:i4>
      </vt:variant>
      <vt:variant>
        <vt:i4>5</vt:i4>
      </vt:variant>
      <vt:variant>
        <vt:lpwstr>http://www.wemerec.org/Documents/Bulletins/BacksBulletinOnlineOPT.pdf</vt:lpwstr>
      </vt:variant>
      <vt:variant>
        <vt:lpwstr/>
      </vt:variant>
      <vt:variant>
        <vt:i4>131167</vt:i4>
      </vt:variant>
      <vt:variant>
        <vt:i4>195</vt:i4>
      </vt:variant>
      <vt:variant>
        <vt:i4>0</vt:i4>
      </vt:variant>
      <vt:variant>
        <vt:i4>5</vt:i4>
      </vt:variant>
      <vt:variant>
        <vt:lpwstr>http://www.britishpainsociety.org/book_opioid_main.pdf</vt:lpwstr>
      </vt:variant>
      <vt:variant>
        <vt:lpwstr/>
      </vt:variant>
      <vt:variant>
        <vt:i4>6619241</vt:i4>
      </vt:variant>
      <vt:variant>
        <vt:i4>192</vt:i4>
      </vt:variant>
      <vt:variant>
        <vt:i4>0</vt:i4>
      </vt:variant>
      <vt:variant>
        <vt:i4>5</vt:i4>
      </vt:variant>
      <vt:variant>
        <vt:lpwstr>http://www.nice.org.uk/cg96</vt:lpwstr>
      </vt:variant>
      <vt:variant>
        <vt:lpwstr/>
      </vt:variant>
      <vt:variant>
        <vt:i4>6553705</vt:i4>
      </vt:variant>
      <vt:variant>
        <vt:i4>189</vt:i4>
      </vt:variant>
      <vt:variant>
        <vt:i4>0</vt:i4>
      </vt:variant>
      <vt:variant>
        <vt:i4>5</vt:i4>
      </vt:variant>
      <vt:variant>
        <vt:lpwstr>http://www.nice.org.uk/cg88</vt:lpwstr>
      </vt:variant>
      <vt:variant>
        <vt:lpwstr/>
      </vt:variant>
      <vt:variant>
        <vt:i4>1769523</vt:i4>
      </vt:variant>
      <vt:variant>
        <vt:i4>122</vt:i4>
      </vt:variant>
      <vt:variant>
        <vt:i4>0</vt:i4>
      </vt:variant>
      <vt:variant>
        <vt:i4>5</vt:i4>
      </vt:variant>
      <vt:variant>
        <vt:lpwstr/>
      </vt:variant>
      <vt:variant>
        <vt:lpwstr>_Toc370903019</vt:lpwstr>
      </vt:variant>
      <vt:variant>
        <vt:i4>1769523</vt:i4>
      </vt:variant>
      <vt:variant>
        <vt:i4>116</vt:i4>
      </vt:variant>
      <vt:variant>
        <vt:i4>0</vt:i4>
      </vt:variant>
      <vt:variant>
        <vt:i4>5</vt:i4>
      </vt:variant>
      <vt:variant>
        <vt:lpwstr/>
      </vt:variant>
      <vt:variant>
        <vt:lpwstr>_Toc370903018</vt:lpwstr>
      </vt:variant>
      <vt:variant>
        <vt:i4>1769523</vt:i4>
      </vt:variant>
      <vt:variant>
        <vt:i4>110</vt:i4>
      </vt:variant>
      <vt:variant>
        <vt:i4>0</vt:i4>
      </vt:variant>
      <vt:variant>
        <vt:i4>5</vt:i4>
      </vt:variant>
      <vt:variant>
        <vt:lpwstr/>
      </vt:variant>
      <vt:variant>
        <vt:lpwstr>_Toc370903017</vt:lpwstr>
      </vt:variant>
      <vt:variant>
        <vt:i4>1769523</vt:i4>
      </vt:variant>
      <vt:variant>
        <vt:i4>104</vt:i4>
      </vt:variant>
      <vt:variant>
        <vt:i4>0</vt:i4>
      </vt:variant>
      <vt:variant>
        <vt:i4>5</vt:i4>
      </vt:variant>
      <vt:variant>
        <vt:lpwstr/>
      </vt:variant>
      <vt:variant>
        <vt:lpwstr>_Toc370903016</vt:lpwstr>
      </vt:variant>
      <vt:variant>
        <vt:i4>1769523</vt:i4>
      </vt:variant>
      <vt:variant>
        <vt:i4>98</vt:i4>
      </vt:variant>
      <vt:variant>
        <vt:i4>0</vt:i4>
      </vt:variant>
      <vt:variant>
        <vt:i4>5</vt:i4>
      </vt:variant>
      <vt:variant>
        <vt:lpwstr/>
      </vt:variant>
      <vt:variant>
        <vt:lpwstr>_Toc370903015</vt:lpwstr>
      </vt:variant>
      <vt:variant>
        <vt:i4>1769523</vt:i4>
      </vt:variant>
      <vt:variant>
        <vt:i4>92</vt:i4>
      </vt:variant>
      <vt:variant>
        <vt:i4>0</vt:i4>
      </vt:variant>
      <vt:variant>
        <vt:i4>5</vt:i4>
      </vt:variant>
      <vt:variant>
        <vt:lpwstr/>
      </vt:variant>
      <vt:variant>
        <vt:lpwstr>_Toc370903014</vt:lpwstr>
      </vt:variant>
      <vt:variant>
        <vt:i4>1769523</vt:i4>
      </vt:variant>
      <vt:variant>
        <vt:i4>86</vt:i4>
      </vt:variant>
      <vt:variant>
        <vt:i4>0</vt:i4>
      </vt:variant>
      <vt:variant>
        <vt:i4>5</vt:i4>
      </vt:variant>
      <vt:variant>
        <vt:lpwstr/>
      </vt:variant>
      <vt:variant>
        <vt:lpwstr>_Toc370903013</vt:lpwstr>
      </vt:variant>
      <vt:variant>
        <vt:i4>1769523</vt:i4>
      </vt:variant>
      <vt:variant>
        <vt:i4>80</vt:i4>
      </vt:variant>
      <vt:variant>
        <vt:i4>0</vt:i4>
      </vt:variant>
      <vt:variant>
        <vt:i4>5</vt:i4>
      </vt:variant>
      <vt:variant>
        <vt:lpwstr/>
      </vt:variant>
      <vt:variant>
        <vt:lpwstr>_Toc370903012</vt:lpwstr>
      </vt:variant>
      <vt:variant>
        <vt:i4>1769523</vt:i4>
      </vt:variant>
      <vt:variant>
        <vt:i4>74</vt:i4>
      </vt:variant>
      <vt:variant>
        <vt:i4>0</vt:i4>
      </vt:variant>
      <vt:variant>
        <vt:i4>5</vt:i4>
      </vt:variant>
      <vt:variant>
        <vt:lpwstr/>
      </vt:variant>
      <vt:variant>
        <vt:lpwstr>_Toc370903011</vt:lpwstr>
      </vt:variant>
      <vt:variant>
        <vt:i4>1769523</vt:i4>
      </vt:variant>
      <vt:variant>
        <vt:i4>68</vt:i4>
      </vt:variant>
      <vt:variant>
        <vt:i4>0</vt:i4>
      </vt:variant>
      <vt:variant>
        <vt:i4>5</vt:i4>
      </vt:variant>
      <vt:variant>
        <vt:lpwstr/>
      </vt:variant>
      <vt:variant>
        <vt:lpwstr>_Toc370903010</vt:lpwstr>
      </vt:variant>
      <vt:variant>
        <vt:i4>1703987</vt:i4>
      </vt:variant>
      <vt:variant>
        <vt:i4>62</vt:i4>
      </vt:variant>
      <vt:variant>
        <vt:i4>0</vt:i4>
      </vt:variant>
      <vt:variant>
        <vt:i4>5</vt:i4>
      </vt:variant>
      <vt:variant>
        <vt:lpwstr/>
      </vt:variant>
      <vt:variant>
        <vt:lpwstr>_Toc370903009</vt:lpwstr>
      </vt:variant>
      <vt:variant>
        <vt:i4>1703987</vt:i4>
      </vt:variant>
      <vt:variant>
        <vt:i4>56</vt:i4>
      </vt:variant>
      <vt:variant>
        <vt:i4>0</vt:i4>
      </vt:variant>
      <vt:variant>
        <vt:i4>5</vt:i4>
      </vt:variant>
      <vt:variant>
        <vt:lpwstr/>
      </vt:variant>
      <vt:variant>
        <vt:lpwstr>_Toc370903008</vt:lpwstr>
      </vt:variant>
      <vt:variant>
        <vt:i4>1703987</vt:i4>
      </vt:variant>
      <vt:variant>
        <vt:i4>50</vt:i4>
      </vt:variant>
      <vt:variant>
        <vt:i4>0</vt:i4>
      </vt:variant>
      <vt:variant>
        <vt:i4>5</vt:i4>
      </vt:variant>
      <vt:variant>
        <vt:lpwstr/>
      </vt:variant>
      <vt:variant>
        <vt:lpwstr>_Toc370903007</vt:lpwstr>
      </vt:variant>
      <vt:variant>
        <vt:i4>1703987</vt:i4>
      </vt:variant>
      <vt:variant>
        <vt:i4>44</vt:i4>
      </vt:variant>
      <vt:variant>
        <vt:i4>0</vt:i4>
      </vt:variant>
      <vt:variant>
        <vt:i4>5</vt:i4>
      </vt:variant>
      <vt:variant>
        <vt:lpwstr/>
      </vt:variant>
      <vt:variant>
        <vt:lpwstr>_Toc370903006</vt:lpwstr>
      </vt:variant>
      <vt:variant>
        <vt:i4>1703987</vt:i4>
      </vt:variant>
      <vt:variant>
        <vt:i4>38</vt:i4>
      </vt:variant>
      <vt:variant>
        <vt:i4>0</vt:i4>
      </vt:variant>
      <vt:variant>
        <vt:i4>5</vt:i4>
      </vt:variant>
      <vt:variant>
        <vt:lpwstr/>
      </vt:variant>
      <vt:variant>
        <vt:lpwstr>_Toc370903005</vt:lpwstr>
      </vt:variant>
      <vt:variant>
        <vt:i4>1703987</vt:i4>
      </vt:variant>
      <vt:variant>
        <vt:i4>32</vt:i4>
      </vt:variant>
      <vt:variant>
        <vt:i4>0</vt:i4>
      </vt:variant>
      <vt:variant>
        <vt:i4>5</vt:i4>
      </vt:variant>
      <vt:variant>
        <vt:lpwstr/>
      </vt:variant>
      <vt:variant>
        <vt:lpwstr>_Toc370903004</vt:lpwstr>
      </vt:variant>
      <vt:variant>
        <vt:i4>1703987</vt:i4>
      </vt:variant>
      <vt:variant>
        <vt:i4>26</vt:i4>
      </vt:variant>
      <vt:variant>
        <vt:i4>0</vt:i4>
      </vt:variant>
      <vt:variant>
        <vt:i4>5</vt:i4>
      </vt:variant>
      <vt:variant>
        <vt:lpwstr/>
      </vt:variant>
      <vt:variant>
        <vt:lpwstr>_Toc370903003</vt:lpwstr>
      </vt:variant>
      <vt:variant>
        <vt:i4>1703987</vt:i4>
      </vt:variant>
      <vt:variant>
        <vt:i4>20</vt:i4>
      </vt:variant>
      <vt:variant>
        <vt:i4>0</vt:i4>
      </vt:variant>
      <vt:variant>
        <vt:i4>5</vt:i4>
      </vt:variant>
      <vt:variant>
        <vt:lpwstr/>
      </vt:variant>
      <vt:variant>
        <vt:lpwstr>_Toc370903002</vt:lpwstr>
      </vt:variant>
      <vt:variant>
        <vt:i4>1703987</vt:i4>
      </vt:variant>
      <vt:variant>
        <vt:i4>14</vt:i4>
      </vt:variant>
      <vt:variant>
        <vt:i4>0</vt:i4>
      </vt:variant>
      <vt:variant>
        <vt:i4>5</vt:i4>
      </vt:variant>
      <vt:variant>
        <vt:lpwstr/>
      </vt:variant>
      <vt:variant>
        <vt:lpwstr>_Toc370903001</vt:lpwstr>
      </vt:variant>
      <vt:variant>
        <vt:i4>1703987</vt:i4>
      </vt:variant>
      <vt:variant>
        <vt:i4>8</vt:i4>
      </vt:variant>
      <vt:variant>
        <vt:i4>0</vt:i4>
      </vt:variant>
      <vt:variant>
        <vt:i4>5</vt:i4>
      </vt:variant>
      <vt:variant>
        <vt:lpwstr/>
      </vt:variant>
      <vt:variant>
        <vt:lpwstr>_Toc370903000</vt:lpwstr>
      </vt:variant>
      <vt:variant>
        <vt:i4>1179706</vt:i4>
      </vt:variant>
      <vt:variant>
        <vt:i4>2</vt:i4>
      </vt:variant>
      <vt:variant>
        <vt:i4>0</vt:i4>
      </vt:variant>
      <vt:variant>
        <vt:i4>5</vt:i4>
      </vt:variant>
      <vt:variant>
        <vt:lpwstr/>
      </vt:variant>
      <vt:variant>
        <vt:lpwstr>_Toc370902999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Audit:</dc:title>
  <dc:subject/>
  <dc:creator>CVUHB</dc:creator>
  <cp:keywords/>
  <dc:description/>
  <cp:lastModifiedBy>Carolyn Hughes (Cardiff and Vale UHB - Awttc)</cp:lastModifiedBy>
  <cp:revision>2</cp:revision>
  <cp:lastPrinted>2021-08-25T09:26:00Z</cp:lastPrinted>
  <dcterms:created xsi:type="dcterms:W3CDTF">2021-10-27T14:17:00Z</dcterms:created>
  <dcterms:modified xsi:type="dcterms:W3CDTF">2021-10-27T14:17:00Z</dcterms:modified>
</cp:coreProperties>
</file>