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FB6C9" w14:textId="48328BFB" w:rsidR="00B83F11" w:rsidRPr="00B83F11" w:rsidRDefault="000A2828" w:rsidP="00B83F11">
      <w:pPr>
        <w:keepNext/>
        <w:spacing w:after="0" w:line="240" w:lineRule="auto"/>
        <w:ind w:left="1"/>
        <w:contextualSpacing/>
        <w:jc w:val="both"/>
        <w:outlineLvl w:val="0"/>
        <w:rPr>
          <w:rFonts w:ascii="Arial" w:eastAsia="Times New Roman" w:hAnsi="Arial" w:cs="Arial"/>
          <w:b/>
          <w:bCs/>
          <w:snapToGrid w:val="0"/>
          <w:kern w:val="0"/>
          <w:sz w:val="28"/>
          <w:szCs w:val="20"/>
          <w14:ligatures w14:val="none"/>
        </w:rPr>
      </w:pPr>
      <w:bookmarkStart w:id="0" w:name="_Toc200524544"/>
      <w:r>
        <w:rPr>
          <w:rFonts w:ascii="Arial" w:eastAsia="Times New Roman" w:hAnsi="Arial" w:cs="Arial"/>
          <w:b/>
          <w:bCs/>
          <w:snapToGrid w:val="0"/>
          <w:kern w:val="0"/>
          <w:sz w:val="28"/>
          <w:szCs w:val="20"/>
          <w14:ligatures w14:val="none"/>
        </w:rPr>
        <w:t xml:space="preserve">Appendix 1: </w:t>
      </w:r>
      <w:r w:rsidR="00B83F11" w:rsidRPr="00B83F11">
        <w:rPr>
          <w:rFonts w:ascii="Arial" w:eastAsia="Times New Roman" w:hAnsi="Arial" w:cs="Arial"/>
          <w:b/>
          <w:bCs/>
          <w:snapToGrid w:val="0"/>
          <w:kern w:val="0"/>
          <w:sz w:val="28"/>
          <w:szCs w:val="20"/>
          <w14:ligatures w14:val="none"/>
        </w:rPr>
        <w:t>Template - Shared care protocol</w:t>
      </w:r>
      <w:bookmarkEnd w:id="0"/>
      <w:r w:rsidR="00B83F11" w:rsidRPr="00B83F11">
        <w:rPr>
          <w:rFonts w:ascii="Arial" w:eastAsia="Times New Roman" w:hAnsi="Arial" w:cs="Arial"/>
          <w:b/>
          <w:bCs/>
          <w:snapToGrid w:val="0"/>
          <w:kern w:val="0"/>
          <w:sz w:val="28"/>
          <w:szCs w:val="20"/>
          <w14:ligatures w14:val="none"/>
        </w:rPr>
        <w:t xml:space="preserve"> </w:t>
      </w:r>
    </w:p>
    <w:p w14:paraId="74F43401" w14:textId="77777777" w:rsidR="00B83F11" w:rsidRPr="00B83F11" w:rsidRDefault="00B83F11" w:rsidP="00B83F11">
      <w:pPr>
        <w:spacing w:after="0" w:line="240" w:lineRule="auto"/>
        <w:rPr>
          <w:rFonts w:ascii="Arial" w:eastAsia="Times New Roman" w:hAnsi="Arial" w:cs="Times New Roman"/>
          <w:kern w:val="0"/>
          <w:sz w:val="24"/>
          <w:szCs w:val="24"/>
          <w14:ligatures w14:val="none"/>
        </w:rPr>
      </w:pP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28" w:type="dxa"/>
          <w:bottom w:w="28" w:type="dxa"/>
        </w:tblCellMar>
        <w:tblLook w:val="0000" w:firstRow="0" w:lastRow="0" w:firstColumn="0" w:lastColumn="0" w:noHBand="0" w:noVBand="0"/>
      </w:tblPr>
      <w:tblGrid>
        <w:gridCol w:w="2569"/>
        <w:gridCol w:w="6491"/>
      </w:tblGrid>
      <w:tr w:rsidR="00B83F11" w:rsidRPr="00B83F11" w14:paraId="632CB60B" w14:textId="77777777" w:rsidTr="00FD267E">
        <w:trPr>
          <w:trHeight w:val="530"/>
        </w:trPr>
        <w:tc>
          <w:tcPr>
            <w:tcW w:w="5000" w:type="pct"/>
            <w:gridSpan w:val="2"/>
            <w:shd w:val="clear" w:color="auto" w:fill="09396D"/>
            <w:tcMar>
              <w:top w:w="28" w:type="dxa"/>
              <w:bottom w:w="28" w:type="dxa"/>
            </w:tcMar>
            <w:vAlign w:val="bottom"/>
          </w:tcPr>
          <w:p w14:paraId="577C00C0" w14:textId="77777777" w:rsidR="00B83F11" w:rsidRPr="00B83F11" w:rsidRDefault="00B83F11" w:rsidP="00B83F11">
            <w:pPr>
              <w:widowControl w:val="0"/>
              <w:autoSpaceDE w:val="0"/>
              <w:autoSpaceDN w:val="0"/>
              <w:adjustRightInd w:val="0"/>
              <w:spacing w:after="0" w:line="240" w:lineRule="auto"/>
              <w:ind w:right="175"/>
              <w:contextualSpacing/>
              <w:jc w:val="center"/>
              <w:rPr>
                <w:rFonts w:ascii="Arial" w:eastAsia="Times New Roman" w:hAnsi="Arial" w:cs="Arial"/>
                <w:b/>
                <w:bCs/>
                <w:color w:val="FFFFFF"/>
                <w:kern w:val="0"/>
                <w:sz w:val="24"/>
                <w:szCs w:val="24"/>
                <w14:ligatures w14:val="none"/>
              </w:rPr>
            </w:pPr>
            <w:r w:rsidRPr="00B83F11">
              <w:rPr>
                <w:rFonts w:ascii="Arial" w:eastAsia="Times New Roman" w:hAnsi="Arial" w:cs="Arial"/>
                <w:b/>
                <w:bCs/>
                <w:color w:val="FFFFFF"/>
                <w:kern w:val="0"/>
                <w:sz w:val="24"/>
                <w:szCs w:val="24"/>
                <w14:ligatures w14:val="none"/>
              </w:rPr>
              <w:t>PROTOCOL: [DRUG NAME]</w:t>
            </w:r>
          </w:p>
          <w:p w14:paraId="4B359F4A"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sidRPr="00B83F11">
              <w:rPr>
                <w:rFonts w:ascii="Arial" w:eastAsia="Times New Roman" w:hAnsi="Arial" w:cs="Arial"/>
                <w:i/>
                <w:iCs/>
                <w:color w:val="FFFFFF"/>
                <w:kern w:val="0"/>
                <w:sz w:val="24"/>
                <w:szCs w:val="24"/>
                <w14:ligatures w14:val="none"/>
              </w:rPr>
              <w:t>This document should be read in conjunction with the current SPC</w:t>
            </w:r>
            <w:r w:rsidRPr="00B83F11">
              <w:rPr>
                <w:rFonts w:ascii="Arial" w:eastAsia="Times New Roman" w:hAnsi="Arial" w:cs="Arial"/>
                <w:iCs/>
                <w:color w:val="FFFFFF"/>
                <w:kern w:val="0"/>
                <w:sz w:val="24"/>
                <w:szCs w:val="24"/>
                <w14:ligatures w14:val="none"/>
              </w:rPr>
              <w:t>:</w:t>
            </w:r>
            <w:r w:rsidRPr="00B83F11">
              <w:rPr>
                <w:rFonts w:ascii="Arial" w:eastAsia="Times New Roman" w:hAnsi="Arial" w:cs="Arial"/>
                <w:i/>
                <w:iCs/>
                <w:color w:val="FFFFFF"/>
                <w:kern w:val="0"/>
                <w:sz w:val="24"/>
                <w:szCs w:val="24"/>
                <w14:ligatures w14:val="none"/>
              </w:rPr>
              <w:t xml:space="preserve"> </w:t>
            </w:r>
            <w:hyperlink r:id="rId7" w:history="1">
              <w:r w:rsidRPr="00B83F11">
                <w:rPr>
                  <w:rFonts w:ascii="Arial" w:eastAsia="Times New Roman" w:hAnsi="Arial" w:cs="Arial"/>
                  <w:color w:val="FFFFFF"/>
                  <w:kern w:val="0"/>
                  <w:sz w:val="24"/>
                  <w:szCs w:val="24"/>
                  <w:u w:val="single"/>
                  <w14:ligatures w14:val="none"/>
                </w:rPr>
                <w:t>www.medicines.org.uk/</w:t>
              </w:r>
            </w:hyperlink>
          </w:p>
        </w:tc>
      </w:tr>
      <w:tr w:rsidR="00B83F11" w:rsidRPr="00B83F11" w14:paraId="0D3C8C2D" w14:textId="77777777" w:rsidTr="00FD267E">
        <w:trPr>
          <w:trHeight w:val="1404"/>
        </w:trPr>
        <w:tc>
          <w:tcPr>
            <w:tcW w:w="1418" w:type="pct"/>
            <w:shd w:val="clear" w:color="auto" w:fill="E0E0E0"/>
            <w:tcMar>
              <w:top w:w="28" w:type="dxa"/>
              <w:bottom w:w="28" w:type="dxa"/>
            </w:tcMar>
            <w:vAlign w:val="center"/>
          </w:tcPr>
          <w:p w14:paraId="4550ADDF"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bCs/>
                <w:kern w:val="0"/>
                <w:sz w:val="24"/>
                <w:szCs w:val="24"/>
                <w14:ligatures w14:val="none"/>
              </w:rPr>
            </w:pPr>
            <w:r w:rsidRPr="00B83F11">
              <w:rPr>
                <w:rFonts w:ascii="Arial" w:eastAsia="Times New Roman" w:hAnsi="Arial" w:cs="Arial"/>
                <w:b/>
                <w:bCs/>
                <w:kern w:val="0"/>
                <w:sz w:val="24"/>
                <w:szCs w:val="24"/>
                <w14:ligatures w14:val="none"/>
              </w:rPr>
              <w:t>1. Licensed indications</w:t>
            </w:r>
          </w:p>
          <w:p w14:paraId="432B10BD"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kern w:val="0"/>
                <w:sz w:val="24"/>
                <w:szCs w:val="24"/>
                <w14:ligatures w14:val="none"/>
              </w:rPr>
            </w:pPr>
            <w:r w:rsidRPr="00B83F11">
              <w:rPr>
                <w:rFonts w:ascii="Arial" w:eastAsia="Times New Roman" w:hAnsi="Arial" w:cs="Arial"/>
                <w:bCs/>
                <w:kern w:val="0"/>
                <w:sz w:val="24"/>
                <w:szCs w:val="24"/>
                <w14:ligatures w14:val="none"/>
              </w:rPr>
              <w:t>State if drug is being used off</w:t>
            </w:r>
            <w:r w:rsidRPr="00B83F11">
              <w:rPr>
                <w:rFonts w:ascii="Arial" w:eastAsia="Times New Roman" w:hAnsi="Arial" w:cs="Arial"/>
                <w:bCs/>
                <w:kern w:val="0"/>
                <w:sz w:val="24"/>
                <w:szCs w:val="24"/>
                <w14:ligatures w14:val="none"/>
              </w:rPr>
              <w:noBreakHyphen/>
              <w:t>label.</w:t>
            </w:r>
            <w:r w:rsidRPr="00B83F11">
              <w:rPr>
                <w:rFonts w:ascii="Arial" w:eastAsia="Times New Roman" w:hAnsi="Arial" w:cs="Arial"/>
                <w:b/>
                <w:bCs/>
                <w:kern w:val="0"/>
                <w:sz w:val="24"/>
                <w:szCs w:val="24"/>
                <w14:ligatures w14:val="none"/>
              </w:rPr>
              <w:t xml:space="preserve"> </w:t>
            </w:r>
          </w:p>
        </w:tc>
        <w:tc>
          <w:tcPr>
            <w:tcW w:w="3582" w:type="pct"/>
            <w:tcMar>
              <w:top w:w="28" w:type="dxa"/>
              <w:bottom w:w="28" w:type="dxa"/>
            </w:tcMar>
            <w:vAlign w:val="center"/>
          </w:tcPr>
          <w:p w14:paraId="662DFC7F" w14:textId="77777777" w:rsidR="00B83F11" w:rsidRPr="00B83F11" w:rsidRDefault="00B83F11" w:rsidP="00B83F11">
            <w:pPr>
              <w:shd w:val="clear" w:color="auto" w:fill="FFFFFF"/>
              <w:spacing w:after="0" w:line="240" w:lineRule="auto"/>
              <w:contextualSpacing/>
              <w:rPr>
                <w:rFonts w:ascii="Arial" w:eastAsia="Times New Roman" w:hAnsi="Arial" w:cs="Arial"/>
                <w:kern w:val="0"/>
                <w:sz w:val="24"/>
                <w:szCs w:val="24"/>
                <w:lang w:eastAsia="en-GB"/>
                <w14:ligatures w14:val="none"/>
              </w:rPr>
            </w:pPr>
          </w:p>
        </w:tc>
      </w:tr>
      <w:tr w:rsidR="00B83F11" w:rsidRPr="00B83F11" w14:paraId="5C76F332" w14:textId="77777777" w:rsidTr="00FD267E">
        <w:trPr>
          <w:trHeight w:val="1637"/>
        </w:trPr>
        <w:tc>
          <w:tcPr>
            <w:tcW w:w="1418" w:type="pct"/>
            <w:shd w:val="clear" w:color="auto" w:fill="E0E0E0"/>
            <w:tcMar>
              <w:top w:w="28" w:type="dxa"/>
              <w:bottom w:w="28" w:type="dxa"/>
            </w:tcMar>
            <w:vAlign w:val="center"/>
          </w:tcPr>
          <w:p w14:paraId="66DA4D5F"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bCs/>
                <w:color w:val="000000"/>
                <w:kern w:val="0"/>
                <w:sz w:val="24"/>
                <w:szCs w:val="24"/>
                <w14:ligatures w14:val="none"/>
              </w:rPr>
              <w:t>2. Therapeutic use and background</w:t>
            </w:r>
          </w:p>
        </w:tc>
        <w:tc>
          <w:tcPr>
            <w:tcW w:w="3582" w:type="pct"/>
            <w:tcMar>
              <w:top w:w="28" w:type="dxa"/>
              <w:bottom w:w="28" w:type="dxa"/>
            </w:tcMar>
            <w:vAlign w:val="center"/>
          </w:tcPr>
          <w:p w14:paraId="5FD72A19"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p>
        </w:tc>
      </w:tr>
      <w:tr w:rsidR="00B83F11" w:rsidRPr="00B83F11" w14:paraId="2CA163E8" w14:textId="77777777" w:rsidTr="00FD267E">
        <w:trPr>
          <w:trHeight w:val="1633"/>
        </w:trPr>
        <w:tc>
          <w:tcPr>
            <w:tcW w:w="1418" w:type="pct"/>
            <w:tcBorders>
              <w:bottom w:val="single" w:sz="4" w:space="0" w:color="BFBFBF"/>
            </w:tcBorders>
            <w:shd w:val="clear" w:color="auto" w:fill="E0E0E0"/>
            <w:tcMar>
              <w:top w:w="28" w:type="dxa"/>
              <w:bottom w:w="28" w:type="dxa"/>
            </w:tcMar>
            <w:vAlign w:val="center"/>
          </w:tcPr>
          <w:p w14:paraId="5A5CB781"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000000"/>
                <w:kern w:val="0"/>
                <w:sz w:val="24"/>
                <w:szCs w:val="24"/>
                <w14:ligatures w14:val="none"/>
              </w:rPr>
            </w:pPr>
            <w:r w:rsidRPr="00B83F11">
              <w:rPr>
                <w:rFonts w:ascii="Arial" w:eastAsia="Times New Roman" w:hAnsi="Arial" w:cs="Arial"/>
                <w:b/>
                <w:bCs/>
                <w:color w:val="000000"/>
                <w:kern w:val="0"/>
                <w:sz w:val="24"/>
                <w:szCs w:val="24"/>
                <w14:ligatures w14:val="none"/>
              </w:rPr>
              <w:t>3. Contraindications</w:t>
            </w:r>
          </w:p>
        </w:tc>
        <w:tc>
          <w:tcPr>
            <w:tcW w:w="3582" w:type="pct"/>
            <w:tcMar>
              <w:top w:w="28" w:type="dxa"/>
              <w:bottom w:w="28" w:type="dxa"/>
            </w:tcMar>
            <w:vAlign w:val="center"/>
          </w:tcPr>
          <w:p w14:paraId="31F8B0BF" w14:textId="77777777" w:rsidR="00B83F11" w:rsidRPr="00B83F11" w:rsidRDefault="00B83F11" w:rsidP="00B83F11">
            <w:pPr>
              <w:shd w:val="clear" w:color="auto" w:fill="FFFFFF"/>
              <w:spacing w:after="0" w:line="240" w:lineRule="auto"/>
              <w:contextualSpacing/>
              <w:rPr>
                <w:rFonts w:ascii="Arial" w:eastAsia="Times New Roman" w:hAnsi="Arial" w:cs="Arial"/>
                <w:color w:val="000000"/>
                <w:kern w:val="0"/>
                <w:sz w:val="24"/>
                <w:szCs w:val="24"/>
                <w:lang w:eastAsia="en-GB"/>
                <w14:ligatures w14:val="none"/>
              </w:rPr>
            </w:pPr>
          </w:p>
        </w:tc>
      </w:tr>
      <w:tr w:rsidR="00B83F11" w:rsidRPr="00B83F11" w14:paraId="20193672" w14:textId="77777777" w:rsidTr="00FD267E">
        <w:trPr>
          <w:trHeight w:val="3173"/>
        </w:trPr>
        <w:tc>
          <w:tcPr>
            <w:tcW w:w="1418" w:type="pct"/>
            <w:shd w:val="clear" w:color="auto" w:fill="E0E0E0"/>
            <w:tcMar>
              <w:top w:w="28" w:type="dxa"/>
              <w:bottom w:w="28" w:type="dxa"/>
            </w:tcMar>
            <w:vAlign w:val="center"/>
          </w:tcPr>
          <w:p w14:paraId="468290ED"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bCs/>
                <w:color w:val="000000"/>
                <w:kern w:val="0"/>
                <w:sz w:val="24"/>
                <w:szCs w:val="24"/>
                <w14:ligatures w14:val="none"/>
              </w:rPr>
            </w:pPr>
            <w:r w:rsidRPr="00B83F11">
              <w:rPr>
                <w:rFonts w:ascii="Arial" w:eastAsia="Times New Roman" w:hAnsi="Arial" w:cs="Arial"/>
                <w:b/>
                <w:bCs/>
                <w:color w:val="000000"/>
                <w:kern w:val="0"/>
                <w:sz w:val="24"/>
                <w:szCs w:val="24"/>
                <w14:ligatures w14:val="none"/>
              </w:rPr>
              <w:t>4. Typical dosage regimen (adults)</w:t>
            </w:r>
          </w:p>
        </w:tc>
        <w:tc>
          <w:tcPr>
            <w:tcW w:w="3582" w:type="pct"/>
            <w:tcMar>
              <w:top w:w="28" w:type="dxa"/>
              <w:bottom w:w="28" w:type="dxa"/>
            </w:tcMar>
            <w:vAlign w:val="center"/>
          </w:tcPr>
          <w:p w14:paraId="19FE9F2E"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000000"/>
                <w:kern w:val="0"/>
                <w:sz w:val="24"/>
                <w:szCs w:val="24"/>
                <w:lang w:val="en-US"/>
                <w14:ligatures w14:val="none"/>
              </w:rPr>
            </w:pPr>
            <w:r w:rsidRPr="00B83F11">
              <w:rPr>
                <w:rFonts w:ascii="Arial" w:eastAsia="Times New Roman" w:hAnsi="Arial" w:cs="Arial"/>
                <w:b/>
                <w:bCs/>
                <w:color w:val="000000"/>
                <w:kern w:val="0"/>
                <w:sz w:val="24"/>
                <w:szCs w:val="24"/>
                <w:lang w:val="en-US"/>
                <w14:ligatures w14:val="none"/>
              </w:rPr>
              <w:t xml:space="preserve">All dose adjustments will be done by secondary care. The following is for information only: </w:t>
            </w:r>
          </w:p>
          <w:p w14:paraId="582D5B56" w14:textId="77777777" w:rsidR="00B83F11" w:rsidRPr="00B83F11" w:rsidRDefault="00B83F11" w:rsidP="00B83F11">
            <w:pPr>
              <w:widowControl w:val="0"/>
              <w:autoSpaceDE w:val="0"/>
              <w:autoSpaceDN w:val="0"/>
              <w:adjustRightInd w:val="0"/>
              <w:spacing w:after="0" w:line="240" w:lineRule="auto"/>
              <w:ind w:left="720"/>
              <w:contextualSpacing/>
              <w:rPr>
                <w:rFonts w:ascii="Arial" w:eastAsia="Times New Roman" w:hAnsi="Arial" w:cs="Arial"/>
                <w:bCs/>
                <w:color w:val="000000"/>
                <w:kern w:val="0"/>
                <w:sz w:val="24"/>
                <w:szCs w:val="24"/>
                <w:lang w:val="en-US"/>
                <w14:ligatures w14:val="none"/>
              </w:rPr>
            </w:pPr>
          </w:p>
          <w:p w14:paraId="5F15D1D9"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bCs/>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Route</w:t>
            </w:r>
          </w:p>
          <w:p w14:paraId="63206957"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bCs/>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Formulation</w:t>
            </w:r>
          </w:p>
          <w:p w14:paraId="6D7623F1"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 xml:space="preserve">Recommended starting </w:t>
            </w:r>
            <w:proofErr w:type="spellStart"/>
            <w:r w:rsidRPr="00B83F11">
              <w:rPr>
                <w:rFonts w:ascii="Arial" w:eastAsia="Times New Roman" w:hAnsi="Arial" w:cs="Arial"/>
                <w:color w:val="000000"/>
                <w:kern w:val="0"/>
                <w:sz w:val="24"/>
                <w:szCs w:val="24"/>
                <w:lang w:val="en-US"/>
                <w14:ligatures w14:val="none"/>
              </w:rPr>
              <w:t>dose___as</w:t>
            </w:r>
            <w:proofErr w:type="spellEnd"/>
            <w:r w:rsidRPr="00B83F11">
              <w:rPr>
                <w:rFonts w:ascii="Arial" w:eastAsia="Times New Roman" w:hAnsi="Arial" w:cs="Arial"/>
                <w:color w:val="000000"/>
                <w:kern w:val="0"/>
                <w:sz w:val="24"/>
                <w:szCs w:val="24"/>
                <w:lang w:val="en-US"/>
                <w14:ligatures w14:val="none"/>
              </w:rPr>
              <w:t xml:space="preserve"> a single daily /weekly dose or as divided daily dose</w:t>
            </w:r>
          </w:p>
          <w:p w14:paraId="684DBF9F"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 xml:space="preserve">Titrate dosage up by ___ (dose)/____ (week or day) according to response. </w:t>
            </w:r>
          </w:p>
          <w:p w14:paraId="09BD2655"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Maintenance dosage up to a maximum ____.</w:t>
            </w:r>
          </w:p>
          <w:p w14:paraId="3874501D"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Adjunctive treatment regime</w:t>
            </w:r>
          </w:p>
          <w:p w14:paraId="61323C14"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Conditions requiring dose reduction e.g. impaired renal/ liver function.</w:t>
            </w:r>
          </w:p>
          <w:p w14:paraId="5F37B969"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color w:val="000000"/>
                <w:kern w:val="0"/>
                <w:sz w:val="24"/>
                <w:szCs w:val="24"/>
                <w:lang w:val="en-US"/>
                <w14:ligatures w14:val="none"/>
              </w:rPr>
            </w:pPr>
            <w:r w:rsidRPr="00B83F11">
              <w:rPr>
                <w:rFonts w:ascii="Arial" w:eastAsia="Times New Roman" w:hAnsi="Arial" w:cs="Arial"/>
                <w:color w:val="000000"/>
                <w:kern w:val="0"/>
                <w:sz w:val="24"/>
                <w:szCs w:val="24"/>
                <w:lang w:val="en-US"/>
                <w14:ligatures w14:val="none"/>
              </w:rPr>
              <w:t xml:space="preserve">Usual response time </w:t>
            </w:r>
          </w:p>
          <w:p w14:paraId="77D0CB6E" w14:textId="77777777" w:rsidR="00B83F11" w:rsidRPr="00B83F11" w:rsidRDefault="00B83F11" w:rsidP="00B83F11">
            <w:pPr>
              <w:widowControl w:val="0"/>
              <w:numPr>
                <w:ilvl w:val="0"/>
                <w:numId w:val="2"/>
              </w:numPr>
              <w:autoSpaceDE w:val="0"/>
              <w:autoSpaceDN w:val="0"/>
              <w:adjustRightInd w:val="0"/>
              <w:spacing w:after="0" w:line="240" w:lineRule="auto"/>
              <w:contextualSpacing/>
              <w:rPr>
                <w:rFonts w:ascii="Arial" w:eastAsia="Times New Roman" w:hAnsi="Arial" w:cs="Arial"/>
                <w:bCs/>
                <w:color w:val="000000"/>
                <w:kern w:val="0"/>
                <w:sz w:val="24"/>
                <w:szCs w:val="24"/>
                <w:lang w:val="en-US"/>
                <w14:ligatures w14:val="none"/>
              </w:rPr>
            </w:pPr>
            <w:r w:rsidRPr="00B83F11">
              <w:rPr>
                <w:rFonts w:ascii="Arial" w:eastAsia="Times New Roman" w:hAnsi="Arial" w:cs="Arial"/>
                <w:bCs/>
                <w:color w:val="000000"/>
                <w:kern w:val="0"/>
                <w:sz w:val="24"/>
                <w:szCs w:val="24"/>
                <w:lang w:val="en-US"/>
                <w14:ligatures w14:val="none"/>
              </w:rPr>
              <w:t>Duration of treatment______</w:t>
            </w:r>
            <w:r w:rsidRPr="00B83F11">
              <w:rPr>
                <w:rFonts w:ascii="Arial" w:eastAsia="Times New Roman" w:hAnsi="Arial" w:cs="Arial"/>
                <w:bCs/>
                <w:i/>
                <w:iCs/>
                <w:color w:val="000000"/>
                <w:kern w:val="0"/>
                <w:sz w:val="24"/>
                <w:szCs w:val="24"/>
                <w:lang w:val="en-US"/>
                <w14:ligatures w14:val="none"/>
              </w:rPr>
              <w:t xml:space="preserve"> or as </w:t>
            </w:r>
            <w:r w:rsidRPr="00B83F11">
              <w:rPr>
                <w:rFonts w:ascii="Arial" w:eastAsia="Times New Roman" w:hAnsi="Arial" w:cs="Arial"/>
                <w:bCs/>
                <w:color w:val="000000"/>
                <w:kern w:val="0"/>
                <w:sz w:val="24"/>
                <w:szCs w:val="24"/>
                <w:lang w:val="en-US"/>
                <w14:ligatures w14:val="none"/>
              </w:rPr>
              <w:t>long as indicated by clinical effectiveness</w:t>
            </w:r>
          </w:p>
        </w:tc>
      </w:tr>
      <w:tr w:rsidR="00B83F11" w:rsidRPr="00B83F11" w14:paraId="446698BE" w14:textId="77777777" w:rsidTr="00FD267E">
        <w:trPr>
          <w:trHeight w:val="2245"/>
        </w:trPr>
        <w:tc>
          <w:tcPr>
            <w:tcW w:w="1418" w:type="pct"/>
            <w:shd w:val="clear" w:color="auto" w:fill="E0E0E0"/>
            <w:tcMar>
              <w:top w:w="28" w:type="dxa"/>
              <w:bottom w:w="28" w:type="dxa"/>
            </w:tcMar>
            <w:vAlign w:val="center"/>
          </w:tcPr>
          <w:p w14:paraId="024A7415"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bCs/>
                <w:color w:val="000000"/>
                <w:kern w:val="0"/>
                <w:sz w:val="24"/>
                <w:szCs w:val="24"/>
                <w14:ligatures w14:val="none"/>
              </w:rPr>
            </w:pPr>
            <w:r w:rsidRPr="00B83F11">
              <w:rPr>
                <w:rFonts w:ascii="Arial" w:eastAsia="Times New Roman" w:hAnsi="Arial" w:cs="Arial"/>
                <w:b/>
                <w:bCs/>
                <w:color w:val="000000"/>
                <w:kern w:val="0"/>
                <w:sz w:val="24"/>
                <w:szCs w:val="24"/>
                <w14:ligatures w14:val="none"/>
              </w:rPr>
              <w:t>5. Drug interactions</w:t>
            </w:r>
          </w:p>
          <w:p w14:paraId="7D53F3BC"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color w:val="000000"/>
                <w:kern w:val="0"/>
                <w:sz w:val="24"/>
                <w:szCs w:val="24"/>
                <w14:ligatures w14:val="none"/>
              </w:rPr>
            </w:pPr>
            <w:r w:rsidRPr="00B83F11">
              <w:rPr>
                <w:rFonts w:ascii="Arial" w:eastAsia="Times New Roman" w:hAnsi="Arial" w:cs="Arial"/>
                <w:bCs/>
                <w:color w:val="000000"/>
                <w:kern w:val="0"/>
                <w:sz w:val="24"/>
                <w:szCs w:val="24"/>
                <w14:ligatures w14:val="none"/>
              </w:rPr>
              <w:t>For a comprehensive list, consult the BNF or SPC</w:t>
            </w:r>
          </w:p>
        </w:tc>
        <w:tc>
          <w:tcPr>
            <w:tcW w:w="3582" w:type="pct"/>
            <w:tcMar>
              <w:top w:w="28" w:type="dxa"/>
              <w:bottom w:w="28" w:type="dxa"/>
            </w:tcMar>
            <w:vAlign w:val="center"/>
          </w:tcPr>
          <w:p w14:paraId="18BA76A7" w14:textId="77777777" w:rsidR="00B83F11" w:rsidRPr="00B83F11" w:rsidRDefault="00B83F11" w:rsidP="00B83F11">
            <w:pPr>
              <w:shd w:val="clear" w:color="auto" w:fill="FFFFFF"/>
              <w:spacing w:after="0" w:line="240" w:lineRule="auto"/>
              <w:contextualSpacing/>
              <w:rPr>
                <w:rFonts w:ascii="Arial" w:eastAsia="Times New Roman" w:hAnsi="Arial" w:cs="Arial"/>
                <w:color w:val="000000"/>
                <w:kern w:val="0"/>
                <w:sz w:val="24"/>
                <w:szCs w:val="24"/>
                <w:lang w:eastAsia="en-GB"/>
                <w14:ligatures w14:val="none"/>
              </w:rPr>
            </w:pPr>
          </w:p>
        </w:tc>
      </w:tr>
    </w:tbl>
    <w:p w14:paraId="2EFE9414" w14:textId="77777777" w:rsidR="00B83F11" w:rsidRPr="00B83F11" w:rsidRDefault="00B83F11" w:rsidP="00B83F11">
      <w:pPr>
        <w:spacing w:after="0" w:line="240" w:lineRule="auto"/>
        <w:rPr>
          <w:rFonts w:ascii="Arial" w:eastAsia="Times New Roman" w:hAnsi="Arial" w:cs="Times New Roman"/>
          <w:kern w:val="0"/>
          <w:sz w:val="24"/>
          <w:szCs w:val="24"/>
          <w14:ligatures w14:val="none"/>
        </w:rPr>
      </w:pPr>
    </w:p>
    <w:p w14:paraId="7783A20C" w14:textId="77777777" w:rsidR="00B83F11" w:rsidRPr="00B83F11" w:rsidRDefault="00B83F11" w:rsidP="00B83F11">
      <w:pPr>
        <w:spacing w:after="0" w:line="240" w:lineRule="auto"/>
        <w:rPr>
          <w:rFonts w:ascii="Arial" w:eastAsia="Times New Roman" w:hAnsi="Arial" w:cs="Times New Roman"/>
          <w:kern w:val="0"/>
          <w:sz w:val="24"/>
          <w:szCs w:val="24"/>
          <w14:ligatures w14:val="none"/>
        </w:rPr>
      </w:pPr>
      <w:r w:rsidRPr="00B83F11">
        <w:rPr>
          <w:rFonts w:ascii="Arial" w:eastAsia="Times New Roman" w:hAnsi="Arial" w:cs="Times New Roman"/>
          <w:kern w:val="0"/>
          <w:sz w:val="24"/>
          <w:szCs w:val="24"/>
          <w14:ligatures w14:val="none"/>
        </w:rPr>
        <w:br w:type="page"/>
      </w:r>
    </w:p>
    <w:p w14:paraId="0FEC9DF3" w14:textId="77777777" w:rsidR="00B83F11" w:rsidRPr="00B83F11" w:rsidRDefault="00B83F11" w:rsidP="00B83F11">
      <w:pPr>
        <w:spacing w:after="0" w:line="240" w:lineRule="auto"/>
        <w:rPr>
          <w:rFonts w:ascii="Arial" w:eastAsia="Times New Roman" w:hAnsi="Arial" w:cs="Times New Roman"/>
          <w:kern w:val="0"/>
          <w:sz w:val="24"/>
          <w:szCs w:val="24"/>
          <w14:ligatures w14:val="none"/>
        </w:rPr>
      </w:pPr>
    </w:p>
    <w:tbl>
      <w:tblPr>
        <w:tblW w:w="5000" w:type="pct"/>
        <w:tblLayout w:type="fixed"/>
        <w:tblCellMar>
          <w:top w:w="28" w:type="dxa"/>
          <w:bottom w:w="28" w:type="dxa"/>
        </w:tblCellMar>
        <w:tblLook w:val="0000" w:firstRow="0" w:lastRow="0" w:firstColumn="0" w:lastColumn="0" w:noHBand="0" w:noVBand="0"/>
      </w:tblPr>
      <w:tblGrid>
        <w:gridCol w:w="2600"/>
        <w:gridCol w:w="1444"/>
        <w:gridCol w:w="1352"/>
        <w:gridCol w:w="339"/>
        <w:gridCol w:w="743"/>
        <w:gridCol w:w="1314"/>
        <w:gridCol w:w="1268"/>
      </w:tblGrid>
      <w:tr w:rsidR="00B83F11" w:rsidRPr="00B83F11" w14:paraId="25B3DA14" w14:textId="77777777" w:rsidTr="00FD267E">
        <w:trPr>
          <w:trHeight w:val="435"/>
        </w:trPr>
        <w:tc>
          <w:tcPr>
            <w:tcW w:w="1435" w:type="pct"/>
            <w:vMerge w:val="restart"/>
            <w:tcBorders>
              <w:top w:val="single" w:sz="4" w:space="0" w:color="BFBFBF"/>
              <w:left w:val="single" w:sz="4" w:space="0" w:color="BFBFBF"/>
              <w:right w:val="single" w:sz="4" w:space="0" w:color="BFBFBF"/>
            </w:tcBorders>
            <w:shd w:val="clear" w:color="auto" w:fill="E0E0E0"/>
            <w:tcMar>
              <w:top w:w="28" w:type="dxa"/>
              <w:bottom w:w="28" w:type="dxa"/>
            </w:tcMar>
            <w:vAlign w:val="center"/>
          </w:tcPr>
          <w:p w14:paraId="037422DC"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bCs/>
                <w:color w:val="000000"/>
                <w:kern w:val="0"/>
                <w:sz w:val="24"/>
                <w:szCs w:val="24"/>
                <w14:ligatures w14:val="none"/>
              </w:rPr>
            </w:pPr>
            <w:r w:rsidRPr="00B83F11">
              <w:rPr>
                <w:rFonts w:ascii="Arial" w:eastAsia="Times New Roman" w:hAnsi="Arial" w:cs="Arial"/>
                <w:kern w:val="0"/>
                <w:sz w:val="24"/>
                <w:szCs w:val="24"/>
                <w14:ligatures w14:val="none"/>
              </w:rPr>
              <w:br w:type="page"/>
            </w:r>
            <w:r w:rsidRPr="00B83F11">
              <w:rPr>
                <w:rFonts w:ascii="Arial" w:eastAsia="Times New Roman" w:hAnsi="Arial" w:cs="Arial"/>
                <w:b/>
                <w:color w:val="000000"/>
                <w:kern w:val="0"/>
                <w:sz w:val="24"/>
                <w:szCs w:val="24"/>
                <w14:ligatures w14:val="none"/>
              </w:rPr>
              <w:t>6.</w:t>
            </w:r>
            <w:r w:rsidRPr="00B83F11">
              <w:rPr>
                <w:rFonts w:ascii="Arial" w:eastAsia="Times New Roman" w:hAnsi="Arial" w:cs="Arial"/>
                <w:b/>
                <w:bCs/>
                <w:color w:val="000000"/>
                <w:kern w:val="0"/>
                <w:sz w:val="24"/>
                <w:szCs w:val="24"/>
                <w14:ligatures w14:val="none"/>
              </w:rPr>
              <w:t xml:space="preserve"> Adverse drug reactions </w:t>
            </w:r>
          </w:p>
          <w:p w14:paraId="196A1283"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color w:val="000000"/>
                <w:kern w:val="0"/>
                <w:sz w:val="24"/>
                <w:szCs w:val="24"/>
                <w14:ligatures w14:val="none"/>
              </w:rPr>
              <w:t>For a comprehensive list (including rare and very rare adverse effects), or if significance of possible adverse event uncertain, consult the SPC or BNF</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554F519" w14:textId="77777777" w:rsidR="00B83F11" w:rsidRPr="00B83F11" w:rsidRDefault="00B83F11" w:rsidP="00B83F11">
            <w:pPr>
              <w:spacing w:after="0" w:line="240" w:lineRule="auto"/>
              <w:ind w:right="-108"/>
              <w:contextualSpacing/>
              <w:rPr>
                <w:rFonts w:ascii="Arial" w:eastAsia="Times New Roman" w:hAnsi="Arial" w:cs="Arial"/>
                <w:kern w:val="0"/>
                <w:sz w:val="24"/>
                <w:szCs w:val="24"/>
                <w14:ligatures w14:val="none"/>
              </w:rPr>
            </w:pPr>
            <w:r w:rsidRPr="00B83F11">
              <w:rPr>
                <w:rFonts w:ascii="Arial" w:eastAsia="Times New Roman" w:hAnsi="Arial" w:cs="Arial"/>
                <w:b/>
                <w:kern w:val="0"/>
                <w:sz w:val="24"/>
                <w:szCs w:val="24"/>
                <w14:ligatures w14:val="none"/>
              </w:rPr>
              <w:t xml:space="preserve">Most serious toxicity is seen with long-term use and may therefore present first to primary care. </w:t>
            </w:r>
            <w:r w:rsidRPr="00B83F11">
              <w:rPr>
                <w:rFonts w:ascii="Arial" w:eastAsia="Times New Roman" w:hAnsi="Arial" w:cs="Arial"/>
                <w:kern w:val="0"/>
                <w:sz w:val="24"/>
                <w:szCs w:val="24"/>
                <w14:ligatures w14:val="none"/>
              </w:rPr>
              <w:t xml:space="preserve">The frequency of adverse reactions is classified using the following convention: </w:t>
            </w:r>
          </w:p>
          <w:p w14:paraId="774B7AD3"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Cs/>
                <w:color w:val="000000"/>
                <w:kern w:val="0"/>
                <w:sz w:val="24"/>
                <w:szCs w:val="24"/>
                <w14:ligatures w14:val="none"/>
              </w:rPr>
            </w:pPr>
            <w:r w:rsidRPr="00B83F11">
              <w:rPr>
                <w:rFonts w:ascii="Arial" w:eastAsia="Times New Roman" w:hAnsi="Arial" w:cs="Arial"/>
                <w:color w:val="000000"/>
                <w:kern w:val="0"/>
                <w:sz w:val="24"/>
                <w:szCs w:val="24"/>
                <w14:ligatures w14:val="none"/>
              </w:rPr>
              <w:t>Very common (≥ 10%); common (≥ 1% and &lt; 10%); uncommon (≥ 0.1% and &lt; 1%); not known (cannot be estimated from the available data).</w:t>
            </w:r>
          </w:p>
        </w:tc>
      </w:tr>
      <w:tr w:rsidR="00B83F11" w:rsidRPr="00B83F11" w14:paraId="03565E44" w14:textId="77777777" w:rsidTr="00FD267E">
        <w:trPr>
          <w:trHeight w:val="51"/>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7FC1FA9E"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FB878EE" w14:textId="77777777" w:rsidR="00B83F11" w:rsidRPr="00B83F11" w:rsidRDefault="00B83F11" w:rsidP="00B83F11">
            <w:pPr>
              <w:spacing w:after="0" w:line="240" w:lineRule="auto"/>
              <w:contextualSpacing/>
              <w:rPr>
                <w:rFonts w:ascii="Arial" w:eastAsia="Times New Roman" w:hAnsi="Arial" w:cs="Arial"/>
                <w:bCs/>
                <w:i/>
                <w:kern w:val="0"/>
                <w:sz w:val="24"/>
                <w:szCs w:val="24"/>
                <w14:ligatures w14:val="none"/>
              </w:rPr>
            </w:pPr>
            <w:r w:rsidRPr="00B83F11">
              <w:rPr>
                <w:rFonts w:ascii="Arial" w:eastAsia="Times New Roman" w:hAnsi="Arial" w:cs="Arial"/>
                <w:b/>
                <w:bCs/>
                <w:kern w:val="0"/>
                <w:sz w:val="24"/>
                <w:szCs w:val="24"/>
                <w14:ligatures w14:val="none"/>
              </w:rPr>
              <w:t xml:space="preserve">Clinical condition </w:t>
            </w:r>
            <w:r w:rsidRPr="00B83F11">
              <w:rPr>
                <w:rFonts w:ascii="Arial" w:eastAsia="Times New Roman" w:hAnsi="Arial" w:cs="Arial"/>
                <w:b/>
                <w:bCs/>
                <w:i/>
                <w:kern w:val="0"/>
                <w:sz w:val="24"/>
                <w:szCs w:val="24"/>
                <w14:ligatures w14:val="none"/>
              </w:rPr>
              <w:t>(Where possible indicate if common, rare or serious)</w:t>
            </w:r>
          </w:p>
        </w:tc>
        <w:tc>
          <w:tcPr>
            <w:tcW w:w="1835" w:type="pct"/>
            <w:gridSpan w:val="3"/>
            <w:tcBorders>
              <w:top w:val="single" w:sz="4" w:space="0" w:color="BFBFBF"/>
              <w:left w:val="single" w:sz="4" w:space="0" w:color="BFBFBF"/>
              <w:bottom w:val="single" w:sz="4" w:space="0" w:color="BFBFBF"/>
              <w:right w:val="single" w:sz="4" w:space="0" w:color="BFBFBF"/>
            </w:tcBorders>
            <w:shd w:val="clear" w:color="auto" w:fill="E0E0E0"/>
            <w:vAlign w:val="center"/>
          </w:tcPr>
          <w:p w14:paraId="73043446" w14:textId="77777777" w:rsidR="00B83F11" w:rsidRPr="00B83F11" w:rsidRDefault="00B83F11" w:rsidP="00B83F11">
            <w:pPr>
              <w:spacing w:after="0" w:line="240" w:lineRule="auto"/>
              <w:contextualSpacing/>
              <w:rPr>
                <w:rFonts w:ascii="Arial" w:eastAsia="Times New Roman" w:hAnsi="Arial" w:cs="Arial"/>
                <w:b/>
                <w:bCs/>
                <w:kern w:val="0"/>
                <w:sz w:val="24"/>
                <w:szCs w:val="24"/>
                <w14:ligatures w14:val="none"/>
              </w:rPr>
            </w:pPr>
            <w:r w:rsidRPr="00B83F11">
              <w:rPr>
                <w:rFonts w:ascii="Arial" w:eastAsia="Times New Roman" w:hAnsi="Arial" w:cs="Arial"/>
                <w:b/>
                <w:bCs/>
                <w:kern w:val="0"/>
                <w:sz w:val="24"/>
                <w:szCs w:val="24"/>
                <w14:ligatures w14:val="none"/>
              </w:rPr>
              <w:t>Management (</w:t>
            </w:r>
            <w:r w:rsidRPr="00B83F11">
              <w:rPr>
                <w:rFonts w:ascii="Arial" w:eastAsia="Times New Roman" w:hAnsi="Arial" w:cs="Arial"/>
                <w:b/>
                <w:bCs/>
                <w:i/>
                <w:kern w:val="0"/>
                <w:sz w:val="24"/>
                <w:szCs w:val="24"/>
                <w14:ligatures w14:val="none"/>
              </w:rPr>
              <w:t>Including threshold at which to contact specialist</w:t>
            </w:r>
            <w:r w:rsidRPr="00B83F11">
              <w:rPr>
                <w:rFonts w:ascii="Arial" w:eastAsia="Times New Roman" w:hAnsi="Arial" w:cs="Arial"/>
                <w:b/>
                <w:bCs/>
                <w:kern w:val="0"/>
                <w:sz w:val="24"/>
                <w:szCs w:val="24"/>
                <w14:ligatures w14:val="none"/>
              </w:rPr>
              <w:t>)</w:t>
            </w:r>
          </w:p>
        </w:tc>
      </w:tr>
      <w:tr w:rsidR="00B83F11" w:rsidRPr="00B83F11" w14:paraId="2CB4F6C2" w14:textId="77777777" w:rsidTr="00FD267E">
        <w:trPr>
          <w:trHeight w:val="4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236AFB7F"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A3EF1BB"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r w:rsidRPr="00B83F11">
              <w:rPr>
                <w:rFonts w:ascii="Arial" w:eastAsia="Times New Roman" w:hAnsi="Arial" w:cs="Arial"/>
                <w:bCs/>
                <w:kern w:val="0"/>
                <w:sz w:val="24"/>
                <w:szCs w:val="24"/>
                <w14:ligatures w14:val="none"/>
              </w:rPr>
              <w:t>System – symptom/sign</w:t>
            </w: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3BCC6E6C" w14:textId="77777777" w:rsidR="00B83F11" w:rsidRPr="00B83F11" w:rsidRDefault="00B83F11" w:rsidP="00B83F11">
            <w:pPr>
              <w:spacing w:after="0" w:line="240" w:lineRule="auto"/>
              <w:ind w:right="-108"/>
              <w:contextualSpacing/>
              <w:rPr>
                <w:rFonts w:ascii="Arial" w:eastAsia="Times New Roman" w:hAnsi="Arial" w:cs="Arial"/>
                <w:color w:val="000000"/>
                <w:kern w:val="0"/>
                <w:sz w:val="24"/>
                <w:szCs w:val="24"/>
                <w14:ligatures w14:val="none"/>
              </w:rPr>
            </w:pPr>
          </w:p>
        </w:tc>
      </w:tr>
      <w:tr w:rsidR="00B83F11" w:rsidRPr="00B83F11" w14:paraId="46DBD053" w14:textId="77777777" w:rsidTr="00FD267E">
        <w:trPr>
          <w:trHeight w:val="42"/>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356B3BEE"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6DE6EFED"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4F8F4877"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340E4B0E" w14:textId="77777777" w:rsidTr="00FD267E">
        <w:trPr>
          <w:trHeight w:val="4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79D3EAD9"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1E579D9"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6B804CC6"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2D5C5041" w14:textId="77777777" w:rsidTr="00FD267E">
        <w:trPr>
          <w:trHeight w:val="4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23622D22"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086A2B0D"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6C023FF3"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35FB2DC5" w14:textId="77777777" w:rsidTr="00FD267E">
        <w:trPr>
          <w:trHeight w:val="42"/>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497F9492"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3E737F67"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6FEB6E81"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30A78AF0" w14:textId="77777777" w:rsidTr="00FD267E">
        <w:trPr>
          <w:trHeight w:val="4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0017AF6B"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27B14EF9"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582F7BA7"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10CA7453" w14:textId="77777777" w:rsidTr="00FD267E">
        <w:trPr>
          <w:trHeight w:val="4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2689E7CA"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38DF89E" w14:textId="77777777" w:rsidR="00B83F11" w:rsidRPr="00B83F11" w:rsidRDefault="00B83F11" w:rsidP="00B83F11">
            <w:pPr>
              <w:spacing w:after="0" w:line="240" w:lineRule="auto"/>
              <w:ind w:right="-37"/>
              <w:contextualSpacing/>
              <w:rPr>
                <w:rFonts w:ascii="Arial" w:eastAsia="Times New Roman" w:hAnsi="Arial" w:cs="Arial"/>
                <w:color w:val="000000"/>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48877CC5"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3C90F384" w14:textId="77777777" w:rsidTr="00FD267E">
        <w:trPr>
          <w:trHeight w:val="4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41DD5710"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1730" w:type="pct"/>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6361E284" w14:textId="77777777" w:rsidR="00B83F11" w:rsidRPr="00B83F11" w:rsidRDefault="00B83F11" w:rsidP="00B83F11">
            <w:pPr>
              <w:spacing w:after="0" w:line="240" w:lineRule="auto"/>
              <w:ind w:right="-37"/>
              <w:contextualSpacing/>
              <w:rPr>
                <w:rFonts w:ascii="Arial" w:eastAsia="Times New Roman" w:hAnsi="Arial" w:cs="Arial"/>
                <w:bCs/>
                <w:kern w:val="0"/>
                <w:sz w:val="24"/>
                <w:szCs w:val="24"/>
                <w14:ligatures w14:val="none"/>
              </w:rPr>
            </w:pPr>
          </w:p>
        </w:tc>
        <w:tc>
          <w:tcPr>
            <w:tcW w:w="1835" w:type="pct"/>
            <w:gridSpan w:val="3"/>
            <w:tcBorders>
              <w:top w:val="single" w:sz="4" w:space="0" w:color="BFBFBF"/>
              <w:left w:val="single" w:sz="4" w:space="0" w:color="BFBFBF"/>
              <w:bottom w:val="single" w:sz="4" w:space="0" w:color="BFBFBF"/>
              <w:right w:val="single" w:sz="4" w:space="0" w:color="BFBFBF"/>
            </w:tcBorders>
            <w:vAlign w:val="center"/>
          </w:tcPr>
          <w:p w14:paraId="3D3BDCC3" w14:textId="77777777" w:rsidR="00B83F11" w:rsidRPr="00B83F11" w:rsidRDefault="00B83F11" w:rsidP="00B83F11">
            <w:pPr>
              <w:spacing w:after="0" w:line="240" w:lineRule="auto"/>
              <w:ind w:right="-108"/>
              <w:contextualSpacing/>
              <w:rPr>
                <w:rFonts w:ascii="Arial" w:eastAsia="Times New Roman" w:hAnsi="Arial" w:cs="Arial"/>
                <w:bCs/>
                <w:kern w:val="0"/>
                <w:sz w:val="24"/>
                <w:szCs w:val="24"/>
                <w14:ligatures w14:val="none"/>
              </w:rPr>
            </w:pPr>
          </w:p>
        </w:tc>
      </w:tr>
      <w:tr w:rsidR="00B83F11" w:rsidRPr="00B83F11" w14:paraId="386FAB8A" w14:textId="77777777" w:rsidTr="00FD267E">
        <w:trPr>
          <w:trHeight w:val="435"/>
        </w:trPr>
        <w:tc>
          <w:tcPr>
            <w:tcW w:w="1435" w:type="pct"/>
            <w:vMerge/>
            <w:tcBorders>
              <w:left w:val="single" w:sz="4" w:space="0" w:color="BFBFBF"/>
              <w:bottom w:val="single" w:sz="4" w:space="0" w:color="BFBFBF"/>
              <w:right w:val="single" w:sz="4" w:space="0" w:color="BFBFBF"/>
            </w:tcBorders>
            <w:shd w:val="clear" w:color="auto" w:fill="E0E0E0"/>
            <w:tcMar>
              <w:top w:w="28" w:type="dxa"/>
              <w:bottom w:w="28" w:type="dxa"/>
            </w:tcMar>
            <w:vAlign w:val="center"/>
          </w:tcPr>
          <w:p w14:paraId="1FDADE28" w14:textId="77777777" w:rsidR="00B83F11" w:rsidRPr="00B83F11" w:rsidRDefault="00B83F11" w:rsidP="00B83F11">
            <w:pPr>
              <w:widowControl w:val="0"/>
              <w:shd w:val="clear" w:color="auto" w:fill="E0E0E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2A8957C9" w14:textId="77777777" w:rsidR="00B83F11" w:rsidRPr="00B83F11" w:rsidRDefault="00B83F11" w:rsidP="00B83F11">
            <w:pPr>
              <w:spacing w:after="0" w:line="240" w:lineRule="auto"/>
              <w:contextualSpacing/>
              <w:rPr>
                <w:rFonts w:ascii="Arial" w:eastAsia="Times New Roman" w:hAnsi="Arial" w:cs="Arial"/>
                <w:b/>
                <w:kern w:val="0"/>
                <w:sz w:val="24"/>
                <w:szCs w:val="24"/>
                <w14:ligatures w14:val="none"/>
              </w:rPr>
            </w:pPr>
            <w:r w:rsidRPr="00B83F11">
              <w:rPr>
                <w:rFonts w:ascii="Arial" w:eastAsia="Times New Roman" w:hAnsi="Arial" w:cs="Arial"/>
                <w:b/>
                <w:kern w:val="0"/>
                <w:sz w:val="24"/>
                <w:szCs w:val="24"/>
                <w14:ligatures w14:val="none"/>
              </w:rPr>
              <w:t xml:space="preserve">IF YOU SUSPECT AN ADVERSE REACTION HAS OCCURRED, PLEASE STOP THE DRUG/CONTACT THE SPECIALIST DEPARTMENT. </w:t>
            </w:r>
          </w:p>
          <w:p w14:paraId="71F976C9"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color w:val="000000"/>
                <w:kern w:val="0"/>
                <w:sz w:val="24"/>
                <w:szCs w:val="24"/>
                <w:lang w:val="en-US"/>
                <w14:ligatures w14:val="none"/>
              </w:rPr>
            </w:pPr>
          </w:p>
          <w:p w14:paraId="0A4EE2C7"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000000"/>
                <w:kern w:val="0"/>
                <w:sz w:val="24"/>
                <w:szCs w:val="24"/>
                <w:lang w:val="en-US"/>
                <w14:ligatures w14:val="none"/>
              </w:rPr>
            </w:pPr>
            <w:r w:rsidRPr="00B83F11">
              <w:rPr>
                <w:rFonts w:ascii="Arial" w:eastAsia="Times New Roman" w:hAnsi="Arial" w:cs="Arial"/>
                <w:b/>
                <w:bCs/>
                <w:color w:val="000000"/>
                <w:kern w:val="0"/>
                <w:sz w:val="24"/>
                <w:szCs w:val="24"/>
                <w:lang w:val="en-US"/>
                <w14:ligatures w14:val="none"/>
              </w:rPr>
              <w:t xml:space="preserve">The patient should be advised to report any of the following signs or symptoms without delay:                </w:t>
            </w:r>
          </w:p>
          <w:p w14:paraId="0F5E932F"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color w:val="000000"/>
                <w:kern w:val="0"/>
                <w:sz w:val="24"/>
                <w:szCs w:val="24"/>
                <w:lang w:val="en-US"/>
                <w14:ligatures w14:val="none"/>
              </w:rPr>
            </w:pPr>
            <w:r w:rsidRPr="00B83F11">
              <w:rPr>
                <w:rFonts w:ascii="Arial" w:eastAsia="Times New Roman" w:hAnsi="Arial" w:cs="Arial"/>
                <w:b/>
                <w:color w:val="000000"/>
                <w:kern w:val="0"/>
                <w:sz w:val="24"/>
                <w:szCs w:val="24"/>
                <w:lang w:val="en-US"/>
                <w14:ligatures w14:val="none"/>
              </w:rPr>
              <w:t>Other important comorbidities (e.g. Chickenpox exposure)</w:t>
            </w:r>
          </w:p>
          <w:p w14:paraId="3A412FF7"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kern w:val="0"/>
                <w:sz w:val="24"/>
                <w:szCs w:val="24"/>
                <w14:ligatures w14:val="none"/>
              </w:rPr>
            </w:pPr>
          </w:p>
          <w:p w14:paraId="71D9F1EA" w14:textId="77777777" w:rsidR="00B83F11" w:rsidRPr="00B83F11" w:rsidRDefault="00B83F11" w:rsidP="00B83F11">
            <w:pPr>
              <w:spacing w:after="0" w:line="240" w:lineRule="auto"/>
              <w:ind w:right="175"/>
              <w:contextualSpacing/>
              <w:rPr>
                <w:rFonts w:ascii="Arial" w:eastAsia="Times New Roman" w:hAnsi="Arial" w:cs="Arial"/>
                <w:bCs/>
                <w:kern w:val="0"/>
                <w:sz w:val="24"/>
                <w:szCs w:val="24"/>
                <w14:ligatures w14:val="none"/>
              </w:rPr>
            </w:pPr>
            <w:r w:rsidRPr="00B83F11">
              <w:rPr>
                <w:rFonts w:ascii="Arial" w:eastAsia="Times New Roman" w:hAnsi="Arial" w:cs="Arial"/>
                <w:bCs/>
                <w:kern w:val="0"/>
                <w:sz w:val="24"/>
                <w:szCs w:val="24"/>
                <w14:ligatures w14:val="none"/>
              </w:rPr>
              <w:t>Any adverse reaction to a black triangle drug, or serious reaction to an established drug, should be reported to the Medicines and Healthcare products Regulatory Agency (MHRA) via the “Yellow Card” scheme.</w:t>
            </w:r>
          </w:p>
          <w:p w14:paraId="5122A062" w14:textId="77777777" w:rsidR="00B83F11" w:rsidRPr="00B83F11" w:rsidRDefault="00B83F11" w:rsidP="00B83F11">
            <w:pPr>
              <w:spacing w:after="0" w:line="240" w:lineRule="auto"/>
              <w:ind w:right="175"/>
              <w:contextualSpacing/>
              <w:rPr>
                <w:rFonts w:ascii="Arial" w:eastAsia="Times New Roman" w:hAnsi="Arial" w:cs="Arial"/>
                <w:bCs/>
                <w:kern w:val="0"/>
                <w:sz w:val="24"/>
                <w:szCs w:val="24"/>
                <w14:ligatures w14:val="none"/>
              </w:rPr>
            </w:pPr>
            <w:hyperlink r:id="rId8" w:history="1">
              <w:r w:rsidRPr="00B83F11">
                <w:rPr>
                  <w:rFonts w:ascii="Arial" w:eastAsia="Times New Roman" w:hAnsi="Arial" w:cs="Arial"/>
                  <w:bCs/>
                  <w:color w:val="0000FF"/>
                  <w:kern w:val="0"/>
                  <w:sz w:val="24"/>
                  <w:szCs w:val="24"/>
                  <w:u w:val="single"/>
                  <w14:ligatures w14:val="none"/>
                </w:rPr>
                <w:t>https://yellowcard.mhra.gov.uk/</w:t>
              </w:r>
            </w:hyperlink>
            <w:r w:rsidRPr="00B83F11">
              <w:rPr>
                <w:rFonts w:ascii="Arial" w:eastAsia="Times New Roman" w:hAnsi="Arial" w:cs="Arial"/>
                <w:bCs/>
                <w:kern w:val="0"/>
                <w:sz w:val="24"/>
                <w:szCs w:val="24"/>
                <w14:ligatures w14:val="none"/>
              </w:rPr>
              <w:t xml:space="preserve"> </w:t>
            </w:r>
          </w:p>
        </w:tc>
      </w:tr>
      <w:tr w:rsidR="00B83F11" w:rsidRPr="00B83F11" w14:paraId="64282012" w14:textId="77777777" w:rsidTr="00FD267E">
        <w:trPr>
          <w:trHeight w:val="678"/>
        </w:trPr>
        <w:tc>
          <w:tcPr>
            <w:tcW w:w="1435" w:type="pct"/>
            <w:tcBorders>
              <w:top w:val="single" w:sz="4" w:space="0" w:color="BFBFBF"/>
              <w:left w:val="single" w:sz="4" w:space="0" w:color="BFBFBF"/>
              <w:bottom w:val="single" w:sz="4" w:space="0" w:color="BFBFBF"/>
              <w:right w:val="single" w:sz="4" w:space="0" w:color="BFBFBF"/>
            </w:tcBorders>
            <w:shd w:val="clear" w:color="auto" w:fill="E0E0E0"/>
            <w:vAlign w:val="center"/>
          </w:tcPr>
          <w:p w14:paraId="2F14A21A"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 xml:space="preserve">7. </w:t>
            </w:r>
            <w:r w:rsidRPr="00B83F11">
              <w:rPr>
                <w:rFonts w:ascii="Arial" w:eastAsia="Times New Roman" w:hAnsi="Arial" w:cs="Arial"/>
                <w:b/>
                <w:bCs/>
                <w:color w:val="000000"/>
                <w:kern w:val="0"/>
                <w:sz w:val="24"/>
                <w:szCs w:val="24"/>
                <w14:ligatures w14:val="none"/>
              </w:rPr>
              <w:t>Baseline investigations</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459B9889"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000000"/>
                <w:kern w:val="0"/>
                <w:sz w:val="24"/>
                <w:szCs w:val="24"/>
                <w14:ligatures w14:val="none"/>
              </w:rPr>
            </w:pPr>
            <w:r w:rsidRPr="00B83F11">
              <w:rPr>
                <w:rFonts w:ascii="Arial" w:eastAsia="Times New Roman" w:hAnsi="Arial" w:cs="Arial"/>
                <w:b/>
                <w:bCs/>
                <w:color w:val="000000"/>
                <w:kern w:val="0"/>
                <w:sz w:val="24"/>
                <w:szCs w:val="24"/>
                <w14:ligatures w14:val="none"/>
              </w:rPr>
              <w:t>To be undertaken by secondary care</w:t>
            </w:r>
          </w:p>
          <w:p w14:paraId="7D37987B"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000000"/>
                <w:kern w:val="0"/>
                <w:sz w:val="24"/>
                <w:szCs w:val="24"/>
                <w14:ligatures w14:val="none"/>
              </w:rPr>
            </w:pPr>
          </w:p>
          <w:p w14:paraId="58E1A948"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kern w:val="0"/>
                <w:sz w:val="24"/>
                <w:szCs w:val="24"/>
                <w14:ligatures w14:val="none"/>
              </w:rPr>
            </w:pPr>
          </w:p>
        </w:tc>
      </w:tr>
      <w:tr w:rsidR="00B83F11" w:rsidRPr="00B83F11" w14:paraId="17FC8A7A" w14:textId="77777777" w:rsidTr="00FD267E">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rPr>
          <w:trHeight w:val="100"/>
        </w:trPr>
        <w:tc>
          <w:tcPr>
            <w:tcW w:w="1435" w:type="pct"/>
            <w:vMerge w:val="restart"/>
            <w:tcBorders>
              <w:top w:val="single" w:sz="4" w:space="0" w:color="BFBFBF"/>
              <w:left w:val="single" w:sz="4" w:space="0" w:color="BFBFBF"/>
              <w:right w:val="single" w:sz="4" w:space="0" w:color="BFBFBF"/>
            </w:tcBorders>
            <w:shd w:val="clear" w:color="auto" w:fill="E0E0E0"/>
            <w:tcMar>
              <w:top w:w="28" w:type="dxa"/>
              <w:bottom w:w="28" w:type="dxa"/>
            </w:tcMar>
            <w:vAlign w:val="center"/>
          </w:tcPr>
          <w:p w14:paraId="72634879"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 xml:space="preserve">8. </w:t>
            </w:r>
            <w:r w:rsidRPr="00B83F11">
              <w:rPr>
                <w:rFonts w:ascii="Arial" w:eastAsia="Times New Roman" w:hAnsi="Arial" w:cs="Arial"/>
                <w:b/>
                <w:bCs/>
                <w:color w:val="000000"/>
                <w:kern w:val="0"/>
                <w:sz w:val="24"/>
                <w:szCs w:val="24"/>
                <w14:ligatures w14:val="none"/>
              </w:rPr>
              <w:t>Monitoring</w:t>
            </w:r>
          </w:p>
        </w:tc>
        <w:tc>
          <w:tcPr>
            <w:tcW w:w="797"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65E04669" w14:textId="77777777" w:rsidR="00B83F11" w:rsidRPr="00B83F11" w:rsidRDefault="00B83F11" w:rsidP="00B83F11">
            <w:pPr>
              <w:spacing w:after="0" w:line="240" w:lineRule="auto"/>
              <w:ind w:left="709" w:hanging="709"/>
              <w:rPr>
                <w:rFonts w:ascii="Arial" w:eastAsia="Arial" w:hAnsi="Arial" w:cs="Arial"/>
                <w:b/>
                <w:color w:val="000000"/>
                <w:kern w:val="0"/>
                <w14:ligatures w14:val="none"/>
              </w:rPr>
            </w:pPr>
            <w:r w:rsidRPr="00B83F11">
              <w:rPr>
                <w:rFonts w:ascii="Arial" w:eastAsia="Arial" w:hAnsi="Arial" w:cs="Arial"/>
                <w:b/>
                <w:color w:val="000000"/>
                <w:kern w:val="0"/>
                <w14:ligatures w14:val="none"/>
              </w:rPr>
              <w:t>Monitoring</w:t>
            </w:r>
          </w:p>
        </w:tc>
        <w:tc>
          <w:tcPr>
            <w:tcW w:w="746" w:type="pct"/>
            <w:tcBorders>
              <w:top w:val="single" w:sz="4" w:space="0" w:color="BFBFBF"/>
              <w:left w:val="single" w:sz="4" w:space="0" w:color="BFBFBF"/>
              <w:bottom w:val="single" w:sz="4" w:space="0" w:color="BFBFBF"/>
              <w:right w:val="single" w:sz="4" w:space="0" w:color="BFBFBF"/>
            </w:tcBorders>
            <w:shd w:val="clear" w:color="auto" w:fill="E0E0E0"/>
            <w:vAlign w:val="center"/>
          </w:tcPr>
          <w:p w14:paraId="67FA1F1B" w14:textId="77777777" w:rsidR="00B83F11" w:rsidRPr="00B83F11" w:rsidRDefault="00B83F11" w:rsidP="00B83F11">
            <w:pPr>
              <w:spacing w:after="0" w:line="240" w:lineRule="auto"/>
              <w:ind w:left="709" w:hanging="709"/>
              <w:rPr>
                <w:rFonts w:ascii="Arial" w:eastAsia="Arial" w:hAnsi="Arial" w:cs="Arial"/>
                <w:b/>
                <w:color w:val="000000"/>
                <w:kern w:val="0"/>
                <w14:ligatures w14:val="none"/>
              </w:rPr>
            </w:pPr>
            <w:r w:rsidRPr="00B83F11">
              <w:rPr>
                <w:rFonts w:ascii="Arial" w:eastAsia="Arial" w:hAnsi="Arial" w:cs="Arial"/>
                <w:b/>
                <w:color w:val="000000"/>
                <w:kern w:val="0"/>
                <w14:ligatures w14:val="none"/>
              </w:rPr>
              <w:t>Frequency</w:t>
            </w:r>
          </w:p>
        </w:tc>
        <w:tc>
          <w:tcPr>
            <w:tcW w:w="596" w:type="pct"/>
            <w:gridSpan w:val="2"/>
            <w:tcBorders>
              <w:top w:val="single" w:sz="4" w:space="0" w:color="BFBFBF"/>
              <w:left w:val="single" w:sz="4" w:space="0" w:color="BFBFBF"/>
              <w:bottom w:val="single" w:sz="4" w:space="0" w:color="BFBFBF"/>
              <w:right w:val="single" w:sz="4" w:space="0" w:color="BFBFBF"/>
            </w:tcBorders>
            <w:shd w:val="clear" w:color="auto" w:fill="E0E0E0"/>
            <w:vAlign w:val="center"/>
          </w:tcPr>
          <w:p w14:paraId="01883D68" w14:textId="77777777" w:rsidR="00B83F11" w:rsidRPr="00B83F11" w:rsidRDefault="00B83F11" w:rsidP="00B83F11">
            <w:pPr>
              <w:spacing w:after="0" w:line="240" w:lineRule="auto"/>
              <w:ind w:left="709" w:hanging="709"/>
              <w:rPr>
                <w:rFonts w:ascii="Arial" w:eastAsia="Arial" w:hAnsi="Arial" w:cs="Arial"/>
                <w:b/>
                <w:color w:val="000000"/>
                <w:kern w:val="0"/>
                <w14:ligatures w14:val="none"/>
              </w:rPr>
            </w:pPr>
            <w:r w:rsidRPr="00B83F11">
              <w:rPr>
                <w:rFonts w:ascii="Arial" w:eastAsia="Arial" w:hAnsi="Arial" w:cs="Arial"/>
                <w:b/>
                <w:color w:val="000000"/>
                <w:kern w:val="0"/>
                <w14:ligatures w14:val="none"/>
              </w:rPr>
              <w:t>Results</w:t>
            </w:r>
          </w:p>
        </w:tc>
        <w:tc>
          <w:tcPr>
            <w:tcW w:w="725" w:type="pct"/>
            <w:tcBorders>
              <w:top w:val="single" w:sz="4" w:space="0" w:color="BFBFBF"/>
              <w:left w:val="single" w:sz="4" w:space="0" w:color="BFBFBF"/>
              <w:bottom w:val="single" w:sz="4" w:space="0" w:color="BFBFBF"/>
              <w:right w:val="single" w:sz="4" w:space="0" w:color="BFBFBF"/>
            </w:tcBorders>
            <w:shd w:val="clear" w:color="auto" w:fill="E0E0E0"/>
            <w:vAlign w:val="center"/>
          </w:tcPr>
          <w:p w14:paraId="62A87627" w14:textId="77777777" w:rsidR="00B83F11" w:rsidRPr="00B83F11" w:rsidRDefault="00B83F11" w:rsidP="00B83F11">
            <w:pPr>
              <w:spacing w:after="0" w:line="240" w:lineRule="auto"/>
              <w:ind w:left="709" w:hanging="709"/>
              <w:rPr>
                <w:rFonts w:ascii="Arial" w:eastAsia="Arial" w:hAnsi="Arial" w:cs="Arial"/>
                <w:b/>
                <w:color w:val="000000"/>
                <w:kern w:val="0"/>
                <w14:ligatures w14:val="none"/>
              </w:rPr>
            </w:pPr>
            <w:r w:rsidRPr="00B83F11">
              <w:rPr>
                <w:rFonts w:ascii="Arial" w:eastAsia="Arial" w:hAnsi="Arial" w:cs="Arial"/>
                <w:b/>
                <w:color w:val="000000"/>
                <w:kern w:val="0"/>
                <w14:ligatures w14:val="none"/>
              </w:rPr>
              <w:t>Action</w:t>
            </w:r>
          </w:p>
        </w:tc>
        <w:tc>
          <w:tcPr>
            <w:tcW w:w="701" w:type="pct"/>
            <w:tcBorders>
              <w:top w:val="single" w:sz="4" w:space="0" w:color="BFBFBF"/>
              <w:left w:val="single" w:sz="4" w:space="0" w:color="BFBFBF"/>
              <w:bottom w:val="single" w:sz="4" w:space="0" w:color="BFBFBF"/>
              <w:right w:val="single" w:sz="4" w:space="0" w:color="BFBFBF"/>
            </w:tcBorders>
            <w:shd w:val="clear" w:color="auto" w:fill="E0E0E0"/>
            <w:vAlign w:val="center"/>
          </w:tcPr>
          <w:p w14:paraId="73C998EC" w14:textId="77777777" w:rsidR="00B83F11" w:rsidRPr="00B83F11" w:rsidRDefault="00B83F11" w:rsidP="00B83F11">
            <w:pPr>
              <w:spacing w:after="0" w:line="240" w:lineRule="auto"/>
              <w:ind w:left="709" w:hanging="709"/>
              <w:rPr>
                <w:rFonts w:ascii="Arial" w:eastAsia="Arial" w:hAnsi="Arial" w:cs="Arial"/>
                <w:b/>
                <w:color w:val="000000"/>
                <w:kern w:val="0"/>
                <w14:ligatures w14:val="none"/>
              </w:rPr>
            </w:pPr>
            <w:r w:rsidRPr="00B83F11">
              <w:rPr>
                <w:rFonts w:ascii="Arial" w:eastAsia="Arial" w:hAnsi="Arial" w:cs="Arial"/>
                <w:b/>
                <w:color w:val="000000"/>
                <w:kern w:val="0"/>
                <w14:ligatures w14:val="none"/>
              </w:rPr>
              <w:t>By</w:t>
            </w:r>
          </w:p>
        </w:tc>
      </w:tr>
      <w:tr w:rsidR="00B83F11" w:rsidRPr="00B83F11" w14:paraId="45B8B12B" w14:textId="77777777" w:rsidTr="00FD267E">
        <w:trPr>
          <w:trHeight w:val="688"/>
        </w:trPr>
        <w:tc>
          <w:tcPr>
            <w:tcW w:w="1435" w:type="pct"/>
            <w:vMerge/>
            <w:tcBorders>
              <w:left w:val="single" w:sz="4" w:space="0" w:color="BFBFBF"/>
              <w:right w:val="single" w:sz="4" w:space="0" w:color="BFBFBF"/>
            </w:tcBorders>
            <w:shd w:val="clear" w:color="auto" w:fill="E0E0E0"/>
            <w:tcMar>
              <w:top w:w="28" w:type="dxa"/>
              <w:bottom w:w="28" w:type="dxa"/>
            </w:tcMar>
            <w:vAlign w:val="center"/>
          </w:tcPr>
          <w:p w14:paraId="4E591DCC"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797" w:type="pct"/>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4BD8ECC8" w14:textId="77777777" w:rsidR="00B83F11" w:rsidRPr="00B83F11" w:rsidRDefault="00B83F11" w:rsidP="00B83F11">
            <w:pPr>
              <w:keepNext/>
              <w:spacing w:after="0" w:line="240" w:lineRule="auto"/>
              <w:contextualSpacing/>
              <w:outlineLvl w:val="2"/>
              <w:rPr>
                <w:rFonts w:ascii="Arial" w:eastAsia="Times New Roman" w:hAnsi="Arial" w:cs="Arial"/>
                <w:kern w:val="0"/>
                <w:sz w:val="24"/>
                <w:szCs w:val="24"/>
                <w14:ligatures w14:val="none"/>
              </w:rPr>
            </w:pPr>
          </w:p>
        </w:tc>
        <w:tc>
          <w:tcPr>
            <w:tcW w:w="745" w:type="pct"/>
            <w:tcBorders>
              <w:top w:val="single" w:sz="4" w:space="0" w:color="BFBFBF"/>
              <w:left w:val="single" w:sz="4" w:space="0" w:color="BFBFBF"/>
              <w:bottom w:val="single" w:sz="4" w:space="0" w:color="BFBFBF"/>
              <w:right w:val="single" w:sz="4" w:space="0" w:color="BFBFBF"/>
            </w:tcBorders>
            <w:vAlign w:val="center"/>
          </w:tcPr>
          <w:p w14:paraId="5C008E0B"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c>
          <w:tcPr>
            <w:tcW w:w="597" w:type="pct"/>
            <w:gridSpan w:val="2"/>
            <w:tcBorders>
              <w:top w:val="single" w:sz="4" w:space="0" w:color="BFBFBF"/>
              <w:left w:val="single" w:sz="4" w:space="0" w:color="BFBFBF"/>
              <w:bottom w:val="single" w:sz="4" w:space="0" w:color="BFBFBF"/>
              <w:right w:val="single" w:sz="4" w:space="0" w:color="BFBFBF"/>
            </w:tcBorders>
            <w:vAlign w:val="center"/>
          </w:tcPr>
          <w:p w14:paraId="1C563096" w14:textId="77777777" w:rsidR="00B83F11" w:rsidRPr="00B83F11" w:rsidRDefault="00B83F11" w:rsidP="00B83F11">
            <w:pPr>
              <w:keepNext/>
              <w:spacing w:after="0" w:line="240" w:lineRule="auto"/>
              <w:contextualSpacing/>
              <w:outlineLvl w:val="1"/>
              <w:rPr>
                <w:rFonts w:ascii="Arial" w:eastAsia="Times New Roman" w:hAnsi="Arial" w:cs="Arial"/>
                <w:bCs/>
                <w:kern w:val="0"/>
                <w:sz w:val="24"/>
                <w:szCs w:val="24"/>
                <w14:ligatures w14:val="none"/>
              </w:rPr>
            </w:pPr>
          </w:p>
        </w:tc>
        <w:tc>
          <w:tcPr>
            <w:tcW w:w="725" w:type="pct"/>
            <w:tcBorders>
              <w:top w:val="single" w:sz="4" w:space="0" w:color="BFBFBF"/>
              <w:left w:val="single" w:sz="4" w:space="0" w:color="BFBFBF"/>
              <w:bottom w:val="single" w:sz="4" w:space="0" w:color="BFBFBF"/>
              <w:right w:val="single" w:sz="4" w:space="0" w:color="BFBFBF"/>
            </w:tcBorders>
            <w:vAlign w:val="center"/>
          </w:tcPr>
          <w:p w14:paraId="3192B63F"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c>
          <w:tcPr>
            <w:tcW w:w="701" w:type="pct"/>
            <w:tcBorders>
              <w:top w:val="single" w:sz="4" w:space="0" w:color="BFBFBF"/>
              <w:left w:val="single" w:sz="4" w:space="0" w:color="BFBFBF"/>
              <w:bottom w:val="single" w:sz="4" w:space="0" w:color="BFBFBF"/>
              <w:right w:val="single" w:sz="4" w:space="0" w:color="BFBFBF"/>
            </w:tcBorders>
            <w:vAlign w:val="center"/>
          </w:tcPr>
          <w:p w14:paraId="64665ADD"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r>
      <w:tr w:rsidR="00B83F11" w:rsidRPr="00B83F11" w14:paraId="54F02135" w14:textId="77777777" w:rsidTr="00FD267E">
        <w:trPr>
          <w:trHeight w:val="643"/>
        </w:trPr>
        <w:tc>
          <w:tcPr>
            <w:tcW w:w="1435" w:type="pct"/>
            <w:vMerge/>
            <w:tcBorders>
              <w:left w:val="single" w:sz="4" w:space="0" w:color="BFBFBF"/>
              <w:bottom w:val="single" w:sz="4" w:space="0" w:color="BFBFBF"/>
              <w:right w:val="single" w:sz="4" w:space="0" w:color="BFBFBF"/>
            </w:tcBorders>
            <w:shd w:val="clear" w:color="auto" w:fill="E0E0E0"/>
            <w:tcMar>
              <w:top w:w="28" w:type="dxa"/>
              <w:bottom w:w="28" w:type="dxa"/>
            </w:tcMar>
            <w:vAlign w:val="center"/>
          </w:tcPr>
          <w:p w14:paraId="59719324"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p>
        </w:tc>
        <w:tc>
          <w:tcPr>
            <w:tcW w:w="797" w:type="pct"/>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526A1B8" w14:textId="77777777" w:rsidR="00B83F11" w:rsidRPr="00B83F11" w:rsidRDefault="00B83F11" w:rsidP="00B83F11">
            <w:pPr>
              <w:keepNext/>
              <w:spacing w:after="0" w:line="240" w:lineRule="auto"/>
              <w:contextualSpacing/>
              <w:outlineLvl w:val="2"/>
              <w:rPr>
                <w:rFonts w:ascii="Arial" w:eastAsia="Times New Roman" w:hAnsi="Arial" w:cs="Arial"/>
                <w:kern w:val="0"/>
                <w:sz w:val="24"/>
                <w:szCs w:val="24"/>
                <w14:ligatures w14:val="none"/>
              </w:rPr>
            </w:pPr>
          </w:p>
        </w:tc>
        <w:tc>
          <w:tcPr>
            <w:tcW w:w="745" w:type="pct"/>
            <w:tcBorders>
              <w:top w:val="single" w:sz="4" w:space="0" w:color="BFBFBF"/>
              <w:left w:val="single" w:sz="4" w:space="0" w:color="BFBFBF"/>
              <w:bottom w:val="single" w:sz="4" w:space="0" w:color="BFBFBF"/>
              <w:right w:val="single" w:sz="4" w:space="0" w:color="BFBFBF"/>
            </w:tcBorders>
            <w:vAlign w:val="center"/>
          </w:tcPr>
          <w:p w14:paraId="66170148"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c>
          <w:tcPr>
            <w:tcW w:w="597" w:type="pct"/>
            <w:gridSpan w:val="2"/>
            <w:tcBorders>
              <w:top w:val="single" w:sz="4" w:space="0" w:color="BFBFBF"/>
              <w:left w:val="single" w:sz="4" w:space="0" w:color="BFBFBF"/>
              <w:bottom w:val="single" w:sz="4" w:space="0" w:color="BFBFBF"/>
              <w:right w:val="single" w:sz="4" w:space="0" w:color="BFBFBF"/>
            </w:tcBorders>
            <w:vAlign w:val="center"/>
          </w:tcPr>
          <w:p w14:paraId="1B9927A9"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c>
          <w:tcPr>
            <w:tcW w:w="725" w:type="pct"/>
            <w:tcBorders>
              <w:top w:val="single" w:sz="4" w:space="0" w:color="BFBFBF"/>
              <w:left w:val="single" w:sz="4" w:space="0" w:color="BFBFBF"/>
              <w:bottom w:val="single" w:sz="4" w:space="0" w:color="BFBFBF"/>
              <w:right w:val="single" w:sz="4" w:space="0" w:color="BFBFBF"/>
            </w:tcBorders>
            <w:vAlign w:val="center"/>
          </w:tcPr>
          <w:p w14:paraId="5D934593"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c>
          <w:tcPr>
            <w:tcW w:w="701" w:type="pct"/>
            <w:tcBorders>
              <w:top w:val="single" w:sz="4" w:space="0" w:color="BFBFBF"/>
              <w:left w:val="single" w:sz="4" w:space="0" w:color="BFBFBF"/>
              <w:bottom w:val="single" w:sz="4" w:space="0" w:color="BFBFBF"/>
              <w:right w:val="single" w:sz="4" w:space="0" w:color="BFBFBF"/>
            </w:tcBorders>
            <w:vAlign w:val="center"/>
          </w:tcPr>
          <w:p w14:paraId="75E107AB"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p>
        </w:tc>
      </w:tr>
      <w:tr w:rsidR="00B83F11" w:rsidRPr="00B83F11" w14:paraId="3701BC7A" w14:textId="77777777" w:rsidTr="00FD267E">
        <w:trPr>
          <w:trHeight w:val="1078"/>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1B36D249"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 xml:space="preserve">9. Pharmaceutical aspects </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212E00CE" w14:textId="77777777" w:rsidR="00B83F11" w:rsidRPr="00B83F11" w:rsidRDefault="00B83F11" w:rsidP="00B83F11">
            <w:pPr>
              <w:shd w:val="clear" w:color="auto" w:fill="FFFFFF"/>
              <w:spacing w:after="0" w:line="240" w:lineRule="auto"/>
              <w:contextualSpacing/>
              <w:rPr>
                <w:rFonts w:ascii="Arial" w:eastAsia="Times New Roman" w:hAnsi="Arial" w:cs="Arial"/>
                <w:kern w:val="0"/>
                <w:sz w:val="24"/>
                <w:szCs w:val="24"/>
                <w:lang w:val="en-US" w:eastAsia="en-GB"/>
                <w14:ligatures w14:val="none"/>
              </w:rPr>
            </w:pPr>
            <w:r w:rsidRPr="00B83F11">
              <w:rPr>
                <w:rFonts w:ascii="Arial" w:eastAsia="Times New Roman" w:hAnsi="Arial" w:cs="Arial"/>
                <w:kern w:val="0"/>
                <w:sz w:val="24"/>
                <w:szCs w:val="24"/>
                <w:lang w:val="en-US" w:eastAsia="en-GB"/>
                <w14:ligatures w14:val="none"/>
              </w:rPr>
              <w:t>E.g. special storage requirements, washout</w:t>
            </w:r>
          </w:p>
          <w:p w14:paraId="7CE1A0D8" w14:textId="77777777" w:rsidR="00B83F11" w:rsidRPr="00B83F11" w:rsidRDefault="00B83F11" w:rsidP="00B83F11">
            <w:pPr>
              <w:shd w:val="clear" w:color="auto" w:fill="FFFFFF"/>
              <w:spacing w:after="0" w:line="240" w:lineRule="auto"/>
              <w:contextualSpacing/>
              <w:rPr>
                <w:rFonts w:ascii="Arial" w:eastAsia="Times New Roman" w:hAnsi="Arial" w:cs="Arial"/>
                <w:b/>
                <w:bCs/>
                <w:i/>
                <w:kern w:val="0"/>
                <w:sz w:val="24"/>
                <w:szCs w:val="24"/>
                <w:lang w:val="en-US" w:eastAsia="en-GB"/>
                <w14:ligatures w14:val="none"/>
              </w:rPr>
            </w:pPr>
            <w:r w:rsidRPr="00B83F11">
              <w:rPr>
                <w:rFonts w:ascii="Arial" w:eastAsia="Times New Roman" w:hAnsi="Arial" w:cs="Arial"/>
                <w:i/>
                <w:kern w:val="0"/>
                <w:sz w:val="24"/>
                <w:szCs w:val="24"/>
                <w:lang w:val="en-US" w:eastAsia="en-GB"/>
                <w14:ligatures w14:val="none"/>
              </w:rPr>
              <w:t>Or</w:t>
            </w:r>
          </w:p>
          <w:p w14:paraId="76E47FA4" w14:textId="77777777" w:rsidR="00B83F11" w:rsidRPr="00B83F11" w:rsidRDefault="00B83F11" w:rsidP="00B83F11">
            <w:pPr>
              <w:shd w:val="clear" w:color="auto" w:fill="FFFFFF"/>
              <w:spacing w:after="0" w:line="240" w:lineRule="auto"/>
              <w:contextualSpacing/>
              <w:rPr>
                <w:rFonts w:ascii="Arial" w:eastAsia="Times New Roman" w:hAnsi="Arial" w:cs="Arial"/>
                <w:bCs/>
                <w:kern w:val="0"/>
                <w:sz w:val="24"/>
                <w:szCs w:val="24"/>
                <w:lang w:val="en-US" w:eastAsia="en-GB"/>
                <w14:ligatures w14:val="none"/>
              </w:rPr>
            </w:pPr>
            <w:r w:rsidRPr="00B83F11">
              <w:rPr>
                <w:rFonts w:ascii="Arial" w:eastAsia="Times New Roman" w:hAnsi="Arial" w:cs="Arial"/>
                <w:bCs/>
                <w:kern w:val="0"/>
                <w:sz w:val="24"/>
                <w:szCs w:val="24"/>
                <w:lang w:val="en-US" w:eastAsia="en-GB"/>
                <w14:ligatures w14:val="none"/>
              </w:rPr>
              <w:t>No special considerations</w:t>
            </w:r>
          </w:p>
        </w:tc>
      </w:tr>
      <w:tr w:rsidR="00B83F11" w:rsidRPr="00B83F11" w14:paraId="2FC846CF"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072"/>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58A85E93" w14:textId="77777777" w:rsidR="00B83F11" w:rsidRPr="00B83F11" w:rsidRDefault="00B83F11" w:rsidP="00B83F11">
            <w:pPr>
              <w:widowControl w:val="0"/>
              <w:autoSpaceDE w:val="0"/>
              <w:autoSpaceDN w:val="0"/>
              <w:adjustRightInd w:val="0"/>
              <w:spacing w:after="0" w:line="240" w:lineRule="auto"/>
              <w:rPr>
                <w:rFonts w:ascii="Arial" w:eastAsia="Calibri" w:hAnsi="Arial" w:cs="Arial"/>
                <w:kern w:val="0"/>
                <w:sz w:val="24"/>
                <w:szCs w:val="24"/>
                <w14:ligatures w14:val="none"/>
              </w:rPr>
            </w:pPr>
            <w:r w:rsidRPr="00B83F11">
              <w:rPr>
                <w:rFonts w:ascii="Arial" w:eastAsia="Times New Roman" w:hAnsi="Arial" w:cs="Arial"/>
                <w:b/>
                <w:color w:val="000000"/>
                <w:kern w:val="0"/>
                <w:sz w:val="24"/>
                <w:szCs w:val="24"/>
                <w14:ligatures w14:val="none"/>
              </w:rPr>
              <w:lastRenderedPageBreak/>
              <w:t xml:space="preserve">10. Advice to patients and carers </w:t>
            </w:r>
            <w:proofErr w:type="gramStart"/>
            <w:r w:rsidRPr="00B83F11">
              <w:rPr>
                <w:rFonts w:ascii="Arial" w:eastAsia="Calibri" w:hAnsi="Arial" w:cs="Arial"/>
                <w:kern w:val="0"/>
                <w:sz w:val="24"/>
                <w:szCs w:val="24"/>
                <w14:ligatures w14:val="none"/>
              </w:rPr>
              <w:t>The</w:t>
            </w:r>
            <w:proofErr w:type="gramEnd"/>
            <w:r w:rsidRPr="00B83F11">
              <w:rPr>
                <w:rFonts w:ascii="Arial" w:eastAsia="Calibri" w:hAnsi="Arial" w:cs="Arial"/>
                <w:kern w:val="0"/>
                <w:sz w:val="24"/>
                <w:szCs w:val="24"/>
                <w14:ligatures w14:val="none"/>
              </w:rPr>
              <w:t xml:space="preserve"> specialist will counsel the patient </w:t>
            </w:r>
            <w:proofErr w:type="gramStart"/>
            <w:r w:rsidRPr="00B83F11">
              <w:rPr>
                <w:rFonts w:ascii="Arial" w:eastAsia="Calibri" w:hAnsi="Arial" w:cs="Arial"/>
                <w:kern w:val="0"/>
                <w:sz w:val="24"/>
                <w:szCs w:val="24"/>
                <w14:ligatures w14:val="none"/>
              </w:rPr>
              <w:t>with regard to</w:t>
            </w:r>
            <w:proofErr w:type="gramEnd"/>
            <w:r w:rsidRPr="00B83F11">
              <w:rPr>
                <w:rFonts w:ascii="Arial" w:eastAsia="Calibri" w:hAnsi="Arial" w:cs="Arial"/>
                <w:kern w:val="0"/>
                <w:sz w:val="24"/>
                <w:szCs w:val="24"/>
                <w14:ligatures w14:val="none"/>
              </w:rPr>
              <w:t xml:space="preserve"> the benefits and risks of treatment and will provide the patient with any relevant information and advice, including patient information leaflets on individual medicines.</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4E410777"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tc>
      </w:tr>
      <w:tr w:rsidR="00B83F11" w:rsidRPr="00B83F11" w14:paraId="1437FA20"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5179"/>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3151403A"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11. Pregnancy (men and women) and breast feeding</w:t>
            </w:r>
          </w:p>
          <w:p w14:paraId="1519C06C" w14:textId="77777777" w:rsidR="00B83F11" w:rsidRPr="00B83F11" w:rsidRDefault="00B83F11" w:rsidP="00B83F11">
            <w:pPr>
              <w:tabs>
                <w:tab w:val="left" w:pos="709"/>
              </w:tabs>
              <w:kinsoku w:val="0"/>
              <w:overflowPunct w:val="0"/>
              <w:autoSpaceDE w:val="0"/>
              <w:autoSpaceDN w:val="0"/>
              <w:adjustRightInd w:val="0"/>
              <w:spacing w:after="0" w:line="240" w:lineRule="auto"/>
              <w:ind w:right="-2"/>
              <w:contextualSpacing/>
              <w:rPr>
                <w:rFonts w:ascii="Arial" w:eastAsia="Calibri" w:hAnsi="Arial" w:cs="Arial"/>
                <w:kern w:val="0"/>
                <w:sz w:val="24"/>
                <w:szCs w:val="24"/>
                <w14:ligatures w14:val="none"/>
              </w:rPr>
            </w:pPr>
            <w:r w:rsidRPr="00B83F11">
              <w:rPr>
                <w:rFonts w:ascii="Arial" w:eastAsia="Calibri" w:hAnsi="Arial" w:cs="Arial"/>
                <w:kern w:val="0"/>
                <w:sz w:val="24"/>
                <w:szCs w:val="24"/>
                <w14:ligatures w14:val="none"/>
              </w:rPr>
              <w:t>It is the responsibility of the specialist to provide advice on the need for contraception to male and female patients on initiation and at each review but the ongoing responsibility for providing this advice rests with both the primary care prescriber and the specialist.</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17F7B06D"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tc>
      </w:tr>
      <w:tr w:rsidR="00B83F11" w:rsidRPr="00B83F11" w14:paraId="38192F86"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28"/>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2835DC4"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 xml:space="preserve">12. </w:t>
            </w:r>
            <w:r w:rsidRPr="00B83F11">
              <w:rPr>
                <w:rFonts w:ascii="Arial" w:eastAsia="Times New Roman" w:hAnsi="Arial" w:cs="Arial"/>
                <w:b/>
                <w:bCs/>
                <w:color w:val="000000"/>
                <w:kern w:val="0"/>
                <w:sz w:val="24"/>
                <w:szCs w:val="24"/>
                <w14:ligatures w14:val="none"/>
              </w:rPr>
              <w:t xml:space="preserve">Specialist contact information </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44B0EE43"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 xml:space="preserve">If stopping medication or needing </w:t>
            </w:r>
            <w:proofErr w:type="gramStart"/>
            <w:r w:rsidRPr="00B83F11">
              <w:rPr>
                <w:rFonts w:ascii="Arial" w:eastAsia="Times New Roman" w:hAnsi="Arial" w:cs="Arial"/>
                <w:b/>
                <w:bCs/>
                <w:color w:val="FF0000"/>
                <w:kern w:val="0"/>
                <w:sz w:val="24"/>
                <w:szCs w:val="24"/>
                <w14:ligatures w14:val="none"/>
              </w:rPr>
              <w:t>advice</w:t>
            </w:r>
            <w:proofErr w:type="gramEnd"/>
            <w:r w:rsidRPr="00B83F11">
              <w:rPr>
                <w:rFonts w:ascii="Arial" w:eastAsia="Times New Roman" w:hAnsi="Arial" w:cs="Arial"/>
                <w:b/>
                <w:bCs/>
                <w:color w:val="FF0000"/>
                <w:kern w:val="0"/>
                <w:sz w:val="24"/>
                <w:szCs w:val="24"/>
                <w14:ligatures w14:val="none"/>
              </w:rPr>
              <w:t xml:space="preserve"> please contact: </w:t>
            </w:r>
          </w:p>
          <w:p w14:paraId="52B153CF" w14:textId="54E8EC42" w:rsid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Specialist</w:t>
            </w:r>
            <w:r w:rsidR="007A4F78">
              <w:rPr>
                <w:rFonts w:ascii="Arial" w:eastAsia="Times New Roman" w:hAnsi="Arial" w:cs="Arial"/>
                <w:b/>
                <w:bCs/>
                <w:color w:val="FF0000"/>
                <w:kern w:val="0"/>
                <w:sz w:val="24"/>
                <w:szCs w:val="24"/>
                <w14:ligatures w14:val="none"/>
              </w:rPr>
              <w:t>:</w:t>
            </w:r>
          </w:p>
          <w:p w14:paraId="4BCC4A7C" w14:textId="77777777" w:rsidR="007A4F78" w:rsidRPr="00B83F11" w:rsidRDefault="007A4F78"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p w14:paraId="77E9135F" w14:textId="6AAC960C"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w:t>
            </w:r>
          </w:p>
          <w:p w14:paraId="43992849"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Contact number:</w:t>
            </w:r>
          </w:p>
          <w:p w14:paraId="65AB4D43"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p w14:paraId="77BFEDE3"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w:t>
            </w:r>
          </w:p>
          <w:p w14:paraId="1916028C"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Hospital:</w:t>
            </w:r>
          </w:p>
          <w:p w14:paraId="7C6C69AE"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p w14:paraId="661F3A96" w14:textId="0477751E"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w:t>
            </w:r>
            <w:r w:rsidR="007A4F78">
              <w:rPr>
                <w:rFonts w:ascii="Arial" w:eastAsia="Times New Roman" w:hAnsi="Arial" w:cs="Arial"/>
                <w:b/>
                <w:bCs/>
                <w:color w:val="FF0000"/>
                <w:kern w:val="0"/>
                <w:sz w:val="24"/>
                <w:szCs w:val="24"/>
                <w14:ligatures w14:val="none"/>
              </w:rPr>
              <w:t>…</w:t>
            </w:r>
          </w:p>
          <w:p w14:paraId="5717686E"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Email:</w:t>
            </w:r>
          </w:p>
          <w:p w14:paraId="380E18EE"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p w14:paraId="0FDF3B8E" w14:textId="7A05404B"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w:t>
            </w:r>
            <w:r w:rsidR="007A4F78">
              <w:rPr>
                <w:rFonts w:ascii="Arial" w:eastAsia="Times New Roman" w:hAnsi="Arial" w:cs="Arial"/>
                <w:b/>
                <w:bCs/>
                <w:color w:val="FF0000"/>
                <w:kern w:val="0"/>
                <w:sz w:val="24"/>
                <w:szCs w:val="24"/>
                <w14:ligatures w14:val="none"/>
              </w:rPr>
              <w:t>…</w:t>
            </w:r>
          </w:p>
          <w:p w14:paraId="01FC68F1"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For Out of Hours advice, please telephone:</w:t>
            </w:r>
          </w:p>
          <w:p w14:paraId="4B529B6D"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p w14:paraId="3B216F14"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r w:rsidRPr="00B83F11">
              <w:rPr>
                <w:rFonts w:ascii="Arial" w:eastAsia="Times New Roman" w:hAnsi="Arial" w:cs="Arial"/>
                <w:b/>
                <w:bCs/>
                <w:color w:val="FF0000"/>
                <w:kern w:val="0"/>
                <w:sz w:val="24"/>
                <w:szCs w:val="24"/>
                <w14:ligatures w14:val="none"/>
              </w:rPr>
              <w:t>…………………………………………………………………</w:t>
            </w:r>
          </w:p>
          <w:p w14:paraId="0CAF31E1"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FF0000"/>
                <w:kern w:val="0"/>
                <w:sz w:val="24"/>
                <w:szCs w:val="24"/>
                <w14:ligatures w14:val="none"/>
              </w:rPr>
            </w:pPr>
          </w:p>
        </w:tc>
      </w:tr>
      <w:tr w:rsidR="00B83F11" w:rsidRPr="00B83F11" w14:paraId="5C07BDCC"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28"/>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3940F6A8"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bCs/>
                <w:color w:val="000000"/>
                <w:kern w:val="0"/>
                <w:sz w:val="24"/>
                <w:szCs w:val="24"/>
                <w14:ligatures w14:val="none"/>
              </w:rPr>
            </w:pPr>
            <w:r w:rsidRPr="00B83F11">
              <w:rPr>
                <w:rFonts w:ascii="Arial" w:eastAsia="Times New Roman" w:hAnsi="Arial" w:cs="Arial"/>
                <w:b/>
                <w:bCs/>
                <w:color w:val="000000"/>
                <w:kern w:val="0"/>
                <w:sz w:val="24"/>
                <w:szCs w:val="24"/>
                <w14:ligatures w14:val="none"/>
              </w:rPr>
              <w:lastRenderedPageBreak/>
              <w:t>13. Access to support, advice and training</w:t>
            </w:r>
          </w:p>
          <w:p w14:paraId="0C434FBE"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b/>
                <w:color w:val="000000"/>
                <w:kern w:val="0"/>
                <w:sz w:val="24"/>
                <w:szCs w:val="24"/>
                <w14:ligatures w14:val="none"/>
              </w:rPr>
            </w:pPr>
            <w:r w:rsidRPr="00B83F11">
              <w:rPr>
                <w:rFonts w:ascii="Arial" w:eastAsia="Times New Roman" w:hAnsi="Arial" w:cs="Arial"/>
                <w:kern w:val="0"/>
                <w:sz w:val="24"/>
                <w:szCs w:val="24"/>
                <w14:ligatures w14:val="none"/>
              </w:rPr>
              <w:t>Information on how primary care prescribers can access advice, support, and clinical guidance from the specialist team should be clearly outlined here.</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0D56F528"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FF0000"/>
                <w:kern w:val="0"/>
                <w:sz w:val="24"/>
                <w:szCs w:val="24"/>
                <w14:ligatures w14:val="none"/>
              </w:rPr>
            </w:pPr>
          </w:p>
        </w:tc>
      </w:tr>
      <w:tr w:rsidR="00B83F11" w:rsidRPr="00B83F11" w14:paraId="7BDF4B91"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504"/>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300912C7" w14:textId="77777777" w:rsidR="00B83F11" w:rsidRPr="00B83F11" w:rsidRDefault="00B83F11" w:rsidP="00B83F11">
            <w:pPr>
              <w:widowControl w:val="0"/>
              <w:autoSpaceDE w:val="0"/>
              <w:autoSpaceDN w:val="0"/>
              <w:adjustRightInd w:val="0"/>
              <w:spacing w:after="0" w:line="240" w:lineRule="auto"/>
              <w:ind w:right="125"/>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 xml:space="preserve">14. </w:t>
            </w:r>
            <w:r w:rsidRPr="00B83F11">
              <w:rPr>
                <w:rFonts w:ascii="Arial" w:eastAsia="Times New Roman" w:hAnsi="Arial" w:cs="Arial"/>
                <w:b/>
                <w:bCs/>
                <w:color w:val="000000"/>
                <w:kern w:val="0"/>
                <w:sz w:val="24"/>
                <w:szCs w:val="24"/>
                <w14:ligatures w14:val="none"/>
              </w:rPr>
              <w:t>Criteria for shared care</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672223B3" w14:textId="77777777" w:rsidR="00B83F11" w:rsidRPr="00B83F11" w:rsidRDefault="00B83F11" w:rsidP="00B83F11">
            <w:pPr>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Prescribing responsibility will only be transferred when:</w:t>
            </w:r>
          </w:p>
          <w:p w14:paraId="23C067D7"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Treatment is for a specified indication and duration.</w:t>
            </w:r>
          </w:p>
          <w:p w14:paraId="275C6678"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Treatment has been initiated and established by the secondary care specialist. </w:t>
            </w:r>
          </w:p>
          <w:p w14:paraId="1ED3C863"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The patient’s initial reaction to and progress on the drug is satisfactory.</w:t>
            </w:r>
          </w:p>
          <w:p w14:paraId="3DBB39AF"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The primary care prescriber has agreed in writing (which may be electronic) in each individual case that shared care is appropriate.</w:t>
            </w:r>
          </w:p>
          <w:p w14:paraId="52A0BF7F"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b/>
                <w:bCs/>
                <w:kern w:val="0"/>
                <w:sz w:val="24"/>
                <w:szCs w:val="24"/>
                <w14:ligatures w14:val="none"/>
              </w:rPr>
            </w:pPr>
            <w:r w:rsidRPr="00B83F11">
              <w:rPr>
                <w:rFonts w:ascii="Arial" w:eastAsia="Times New Roman" w:hAnsi="Arial" w:cs="Arial"/>
                <w:kern w:val="0"/>
                <w:sz w:val="24"/>
                <w:szCs w:val="24"/>
                <w14:ligatures w14:val="none"/>
              </w:rPr>
              <w:t xml:space="preserve">The patient’s general physical, mental and social circumstances are such that he/she would benefit from shared care arrangements. </w:t>
            </w:r>
          </w:p>
        </w:tc>
      </w:tr>
      <w:tr w:rsidR="00B83F11" w:rsidRPr="00B83F11" w14:paraId="7FD44028"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670"/>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062F11D"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bCs/>
                <w:color w:val="000000"/>
                <w:kern w:val="0"/>
                <w:sz w:val="24"/>
                <w:szCs w:val="24"/>
                <w14:ligatures w14:val="none"/>
              </w:rPr>
              <w:t>15. Responsibilities of initiating specialist</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2EC8ADB1"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Initiate treatment. </w:t>
            </w:r>
          </w:p>
          <w:p w14:paraId="63BC3611"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Undertake baseline monitoring.</w:t>
            </w:r>
          </w:p>
          <w:p w14:paraId="4673110D"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Dose adjustments.</w:t>
            </w:r>
          </w:p>
          <w:p w14:paraId="4762089F"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Monitor patient’s initial reaction to and progress on the drug.</w:t>
            </w:r>
          </w:p>
          <w:p w14:paraId="16F1A0FE"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Ensure that the patient is taking their medication and has an adequate supply of medication until primary care supply can be arranged. </w:t>
            </w:r>
          </w:p>
          <w:p w14:paraId="4EB9F2F6"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Continue to monitor and supervise the patient according to this protocol, while the patient remains on this drug. R</w:t>
            </w:r>
            <w:r w:rsidRPr="00B83F11">
              <w:rPr>
                <w:rFonts w:ascii="Arial" w:eastAsia="Times New Roman" w:hAnsi="Arial" w:cs="Times New Roman"/>
                <w:kern w:val="0"/>
                <w:sz w:val="24"/>
                <w:szCs w:val="24"/>
                <w14:ligatures w14:val="none"/>
              </w:rPr>
              <w:t>eviews should occur at least annually.</w:t>
            </w:r>
          </w:p>
          <w:p w14:paraId="4EAA942B"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Follow up if the patient misses any secondary care appointments and inform the primary care prescriber.</w:t>
            </w:r>
          </w:p>
          <w:p w14:paraId="0103166F"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Provide training, advice, and guidance to primary care prescribers as needed to support the shared care agreement.</w:t>
            </w:r>
          </w:p>
          <w:p w14:paraId="6E804782" w14:textId="77777777" w:rsidR="00B83F11" w:rsidRPr="00B83F11" w:rsidRDefault="00B83F11" w:rsidP="00B83F11">
            <w:pPr>
              <w:numPr>
                <w:ilvl w:val="0"/>
                <w:numId w:val="1"/>
              </w:numPr>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Patients will remain under the care of the specialist and should not be discharged.</w:t>
            </w:r>
          </w:p>
          <w:p w14:paraId="4A44465B"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Provide primary care prescriber with:</w:t>
            </w:r>
          </w:p>
          <w:p w14:paraId="384BE74D"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Diagnosis, relevant clinical information and baseline results, treatment to date and treatment plan, duration of treatment before consultant review.</w:t>
            </w:r>
          </w:p>
          <w:p w14:paraId="52F5516F"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Provide primary care prescriber with details of outpatient consultations, ideally within 14 days of </w:t>
            </w:r>
            <w:r w:rsidRPr="00B83F11">
              <w:rPr>
                <w:rFonts w:ascii="Arial" w:eastAsia="Times New Roman" w:hAnsi="Arial" w:cs="Arial"/>
                <w:kern w:val="0"/>
                <w:sz w:val="24"/>
                <w:szCs w:val="24"/>
                <w14:ligatures w14:val="none"/>
              </w:rPr>
              <w:lastRenderedPageBreak/>
              <w:t xml:space="preserve">seeing the patient, </w:t>
            </w:r>
            <w:r w:rsidRPr="00B83F11">
              <w:rPr>
                <w:rFonts w:ascii="Arial" w:eastAsia="Times New Roman" w:hAnsi="Arial" w:cs="Arial"/>
                <w:i/>
                <w:kern w:val="0"/>
                <w:sz w:val="24"/>
                <w:szCs w:val="24"/>
                <w14:ligatures w14:val="none"/>
              </w:rPr>
              <w:t>or</w:t>
            </w:r>
            <w:r w:rsidRPr="00B83F11">
              <w:rPr>
                <w:rFonts w:ascii="Arial" w:eastAsia="Times New Roman" w:hAnsi="Arial" w:cs="Arial"/>
                <w:kern w:val="0"/>
                <w:sz w:val="24"/>
                <w:szCs w:val="24"/>
                <w14:ligatures w14:val="none"/>
              </w:rPr>
              <w:t xml:space="preserve"> inform primary care prescriber if the patient does not attend appointment.</w:t>
            </w:r>
          </w:p>
          <w:p w14:paraId="2841EEB6"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Advice on when to stop this drug.</w:t>
            </w:r>
          </w:p>
          <w:p w14:paraId="046F785D"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Provide patient with relevant drug information to enable:</w:t>
            </w:r>
          </w:p>
          <w:p w14:paraId="43693CC2"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Informed consent to therapy. </w:t>
            </w:r>
          </w:p>
          <w:p w14:paraId="374CC86D"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Understanding of potential side effects and appropriate action. </w:t>
            </w:r>
          </w:p>
          <w:p w14:paraId="17B1D14C"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Understanding of the role of monitoring.</w:t>
            </w:r>
          </w:p>
          <w:p w14:paraId="1BB6FFF7"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b/>
                <w:kern w:val="0"/>
                <w:sz w:val="24"/>
                <w:szCs w:val="24"/>
                <w14:ligatures w14:val="none"/>
              </w:rPr>
            </w:pPr>
            <w:r w:rsidRPr="00B83F11">
              <w:rPr>
                <w:rFonts w:ascii="Arial" w:eastAsia="Times New Roman" w:hAnsi="Arial" w:cs="Arial"/>
                <w:kern w:val="0"/>
                <w:sz w:val="24"/>
                <w:szCs w:val="24"/>
                <w14:ligatures w14:val="none"/>
              </w:rPr>
              <w:t xml:space="preserve">Monitoring booklet where appropriate. </w:t>
            </w:r>
          </w:p>
          <w:p w14:paraId="568678C7"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b/>
                <w:kern w:val="0"/>
                <w:sz w:val="24"/>
                <w:szCs w:val="24"/>
                <w14:ligatures w14:val="none"/>
              </w:rPr>
            </w:pPr>
            <w:r w:rsidRPr="00B83F11">
              <w:rPr>
                <w:rFonts w:ascii="Arial" w:eastAsia="Times New Roman" w:hAnsi="Arial" w:cs="Times New Roman"/>
                <w:kern w:val="0"/>
                <w:sz w:val="24"/>
                <w:szCs w:val="24"/>
                <w14:ligatures w14:val="none"/>
              </w:rPr>
              <w:t>Any dose or formulation changes made in secondary care</w:t>
            </w:r>
          </w:p>
        </w:tc>
      </w:tr>
      <w:tr w:rsidR="00B83F11" w:rsidRPr="00B83F11" w14:paraId="4D90A858"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635"/>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0CAE44E2"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lastRenderedPageBreak/>
              <w:t xml:space="preserve">16. </w:t>
            </w:r>
            <w:r w:rsidRPr="00B83F11">
              <w:rPr>
                <w:rFonts w:ascii="Arial" w:eastAsia="Times New Roman" w:hAnsi="Arial" w:cs="Arial"/>
                <w:b/>
                <w:bCs/>
                <w:color w:val="000000"/>
                <w:kern w:val="0"/>
                <w:sz w:val="24"/>
                <w:szCs w:val="24"/>
                <w14:ligatures w14:val="none"/>
              </w:rPr>
              <w:t xml:space="preserve">Responsibilities of primary care </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4953971"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To monitor and prescribe in collaboration with the specialist, according to this protocol.</w:t>
            </w:r>
          </w:p>
          <w:p w14:paraId="3BC96564"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To ensure that the monitoring and dosage record is kept </w:t>
            </w:r>
            <w:proofErr w:type="gramStart"/>
            <w:r w:rsidRPr="00B83F11">
              <w:rPr>
                <w:rFonts w:ascii="Arial" w:eastAsia="Times New Roman" w:hAnsi="Arial" w:cs="Arial"/>
                <w:kern w:val="0"/>
                <w:sz w:val="24"/>
                <w:szCs w:val="24"/>
                <w14:ligatures w14:val="none"/>
              </w:rPr>
              <w:t>up-to-date</w:t>
            </w:r>
            <w:proofErr w:type="gramEnd"/>
            <w:r w:rsidRPr="00B83F11">
              <w:rPr>
                <w:rFonts w:ascii="Arial" w:eastAsia="Times New Roman" w:hAnsi="Arial" w:cs="Arial"/>
                <w:kern w:val="0"/>
                <w:sz w:val="24"/>
                <w:szCs w:val="24"/>
                <w14:ligatures w14:val="none"/>
              </w:rPr>
              <w:t xml:space="preserve">. </w:t>
            </w:r>
          </w:p>
          <w:p w14:paraId="38436FCA"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Symptoms or results are appropriately actioned, recorded and communicated to secondary care when necessary. </w:t>
            </w:r>
          </w:p>
          <w:p w14:paraId="0E2476A5"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Communicate any dose or formulation changes, agreed with the specialist and undertaken in primary care to the patient</w:t>
            </w:r>
          </w:p>
          <w:p w14:paraId="27E85EC0"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Follow up if the patient misses any primary care appointments and inform the specialist</w:t>
            </w:r>
          </w:p>
          <w:p w14:paraId="1887B82E"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Refer the patient to the specialist if there is a deterioration in their clinical condition</w:t>
            </w:r>
          </w:p>
          <w:p w14:paraId="29B17AAE"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Discontinue treatment as advised by the specialist.</w:t>
            </w:r>
          </w:p>
          <w:p w14:paraId="18BC2102"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In case of medicine shortages, promptly inform the community pharmacist and specialist.</w:t>
            </w:r>
          </w:p>
          <w:p w14:paraId="044AFB42" w14:textId="77777777" w:rsidR="00B83F11" w:rsidRPr="00B83F11" w:rsidRDefault="00B83F11" w:rsidP="00B83F11">
            <w:pPr>
              <w:shd w:val="clear" w:color="auto" w:fill="FFFFFF"/>
              <w:spacing w:after="0" w:line="240" w:lineRule="auto"/>
              <w:contextualSpacing/>
              <w:rPr>
                <w:rFonts w:ascii="Arial" w:eastAsia="Times New Roman" w:hAnsi="Arial" w:cs="Arial"/>
                <w:i/>
                <w:kern w:val="0"/>
                <w:sz w:val="24"/>
                <w:szCs w:val="24"/>
                <w:lang w:val="en-US"/>
                <w14:ligatures w14:val="none"/>
              </w:rPr>
            </w:pPr>
            <w:r w:rsidRPr="00B83F11">
              <w:rPr>
                <w:rFonts w:ascii="Arial" w:eastAsia="Times New Roman" w:hAnsi="Arial" w:cs="Arial"/>
                <w:i/>
                <w:kern w:val="0"/>
                <w:sz w:val="24"/>
                <w:szCs w:val="24"/>
                <w:lang w:val="en-US"/>
                <w14:ligatures w14:val="none"/>
              </w:rPr>
              <w:t>Delete as appropriate:</w:t>
            </w:r>
          </w:p>
          <w:p w14:paraId="4B95C8ED" w14:textId="77777777" w:rsidR="00B83F11" w:rsidRPr="00B83F11" w:rsidRDefault="00B83F11" w:rsidP="00B83F11">
            <w:pPr>
              <w:shd w:val="clear" w:color="auto" w:fill="FFFFFF"/>
              <w:spacing w:after="0" w:line="240" w:lineRule="auto"/>
              <w:contextualSpacing/>
              <w:rPr>
                <w:rFonts w:ascii="Arial" w:eastAsia="Times New Roman" w:hAnsi="Arial" w:cs="Arial"/>
                <w:kern w:val="0"/>
                <w:sz w:val="24"/>
                <w:szCs w:val="24"/>
                <w:lang w:val="en-US"/>
                <w14:ligatures w14:val="none"/>
              </w:rPr>
            </w:pPr>
            <w:r w:rsidRPr="00B83F11">
              <w:rPr>
                <w:rFonts w:ascii="Arial" w:eastAsia="Times New Roman" w:hAnsi="Arial" w:cs="Arial"/>
                <w:kern w:val="0"/>
                <w:sz w:val="24"/>
                <w:szCs w:val="24"/>
                <w:lang w:val="en-US"/>
                <w14:ligatures w14:val="none"/>
              </w:rPr>
              <w:t xml:space="preserve">Provision of shared care is in accordance with Local </w:t>
            </w:r>
            <w:r w:rsidRPr="00B83F11">
              <w:rPr>
                <w:rFonts w:ascii="Arial" w:eastAsia="Times New Roman" w:hAnsi="Arial" w:cs="Times New Roman"/>
                <w:kern w:val="0"/>
                <w:sz w:val="24"/>
                <w:szCs w:val="24"/>
                <w14:ligatures w14:val="none"/>
              </w:rPr>
              <w:t>Supplementary</w:t>
            </w:r>
            <w:r w:rsidRPr="00B83F11">
              <w:rPr>
                <w:rFonts w:ascii="Arial" w:eastAsia="Times New Roman" w:hAnsi="Arial" w:cs="Arial"/>
                <w:kern w:val="0"/>
                <w:sz w:val="24"/>
                <w:szCs w:val="24"/>
                <w:lang w:val="en-US"/>
                <w14:ligatures w14:val="none"/>
              </w:rPr>
              <w:t xml:space="preserve"> Scheme, where available.</w:t>
            </w:r>
          </w:p>
          <w:p w14:paraId="4C49FD8B" w14:textId="77777777" w:rsidR="00B83F11" w:rsidRPr="00B83F11" w:rsidRDefault="00B83F11" w:rsidP="00B83F11">
            <w:p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Near-patient testing is in accordance with the service outline of the GMS contract.</w:t>
            </w:r>
          </w:p>
        </w:tc>
      </w:tr>
      <w:tr w:rsidR="00B83F11" w:rsidRPr="00B83F11" w14:paraId="571FB31D"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636"/>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197128F"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17. R</w:t>
            </w:r>
            <w:r w:rsidRPr="00B83F11">
              <w:rPr>
                <w:rFonts w:ascii="Arial" w:eastAsia="Times New Roman" w:hAnsi="Arial" w:cs="Arial"/>
                <w:b/>
                <w:bCs/>
                <w:color w:val="000000"/>
                <w:kern w:val="0"/>
                <w:sz w:val="24"/>
                <w:szCs w:val="24"/>
                <w14:ligatures w14:val="none"/>
              </w:rPr>
              <w:t xml:space="preserve">esponsibilities of patients </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BAFC294"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To attend hospital and primary care appointments, including those for monitoring. </w:t>
            </w:r>
          </w:p>
          <w:p w14:paraId="00C87E50"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Ensure monitoring booklet (if issued) is taken to appointments.</w:t>
            </w:r>
          </w:p>
          <w:p w14:paraId="26A26EAC"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 xml:space="preserve">Failure to attend will result in medication being stopped (on specialist advice). </w:t>
            </w:r>
          </w:p>
          <w:p w14:paraId="407C8B63"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Arial"/>
                <w:kern w:val="0"/>
                <w:sz w:val="24"/>
                <w:szCs w:val="24"/>
                <w14:ligatures w14:val="none"/>
              </w:rPr>
              <w:t>To report adverse effects to their specialist or primary care prescriber.</w:t>
            </w:r>
          </w:p>
          <w:p w14:paraId="04FC1E36" w14:textId="77777777" w:rsidR="00B83F11" w:rsidRPr="00B83F11" w:rsidRDefault="00B83F11" w:rsidP="00B83F11">
            <w:pPr>
              <w:numPr>
                <w:ilvl w:val="0"/>
                <w:numId w:val="1"/>
              </w:numPr>
              <w:shd w:val="clear" w:color="auto" w:fill="FFFFFF"/>
              <w:spacing w:after="0" w:line="240" w:lineRule="auto"/>
              <w:contextualSpacing/>
              <w:rPr>
                <w:rFonts w:ascii="Arial" w:eastAsia="Times New Roman" w:hAnsi="Arial" w:cs="Arial"/>
                <w:kern w:val="0"/>
                <w:sz w:val="24"/>
                <w:szCs w:val="24"/>
                <w14:ligatures w14:val="none"/>
              </w:rPr>
            </w:pPr>
            <w:r w:rsidRPr="00B83F11">
              <w:rPr>
                <w:rFonts w:ascii="Arial" w:eastAsia="Times New Roman" w:hAnsi="Arial" w:cs="Times New Roman"/>
                <w:kern w:val="0"/>
                <w:sz w:val="24"/>
                <w:szCs w:val="24"/>
                <w14:ligatures w14:val="none"/>
              </w:rPr>
              <w:t>Inform the specialist if they are moving out of the area or registering with a different GP practice</w:t>
            </w:r>
          </w:p>
        </w:tc>
      </w:tr>
      <w:tr w:rsidR="00B83F11" w:rsidRPr="00B83F11" w14:paraId="0A7717C3"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86"/>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762753E5" w14:textId="77777777" w:rsidR="00B83F11" w:rsidRPr="00B83F11" w:rsidRDefault="00B83F11" w:rsidP="00B83F11">
            <w:pPr>
              <w:spacing w:after="0" w:line="240" w:lineRule="auto"/>
              <w:contextualSpacing/>
              <w:rPr>
                <w:rFonts w:ascii="Arial" w:eastAsia="Times New Roman" w:hAnsi="Arial" w:cs="Arial"/>
                <w:b/>
                <w:kern w:val="0"/>
                <w:sz w:val="24"/>
                <w:szCs w:val="24"/>
                <w14:ligatures w14:val="none"/>
              </w:rPr>
            </w:pPr>
            <w:r w:rsidRPr="00B83F11">
              <w:rPr>
                <w:rFonts w:ascii="Arial" w:eastAsia="Times New Roman" w:hAnsi="Arial" w:cs="Arial"/>
                <w:b/>
                <w:kern w:val="0"/>
                <w:sz w:val="24"/>
                <w:szCs w:val="24"/>
                <w14:ligatures w14:val="none"/>
              </w:rPr>
              <w:t xml:space="preserve">18. </w:t>
            </w:r>
            <w:r w:rsidRPr="00B83F11">
              <w:rPr>
                <w:rFonts w:ascii="Arial" w:eastAsia="Times New Roman" w:hAnsi="Arial" w:cs="Arial"/>
                <w:b/>
                <w:bCs/>
                <w:kern w:val="0"/>
                <w:sz w:val="24"/>
                <w:szCs w:val="24"/>
                <w14:ligatures w14:val="none"/>
              </w:rPr>
              <w:t>Additional responsibilities</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DCA7BC4" w14:textId="77777777" w:rsidR="00B83F11" w:rsidRPr="00B83F11" w:rsidRDefault="00B83F11" w:rsidP="00B83F11">
            <w:pPr>
              <w:spacing w:after="0" w:line="240" w:lineRule="auto"/>
              <w:contextualSpacing/>
              <w:rPr>
                <w:rFonts w:ascii="Arial" w:eastAsia="Times New Roman" w:hAnsi="Arial" w:cs="Arial"/>
                <w:bCs/>
                <w:kern w:val="0"/>
                <w:sz w:val="24"/>
                <w:szCs w:val="24"/>
                <w14:ligatures w14:val="none"/>
              </w:rPr>
            </w:pPr>
            <w:r w:rsidRPr="00B83F11">
              <w:rPr>
                <w:rFonts w:ascii="Arial" w:eastAsia="Times New Roman" w:hAnsi="Arial" w:cs="Arial"/>
                <w:bCs/>
                <w:kern w:val="0"/>
                <w:sz w:val="24"/>
                <w:szCs w:val="24"/>
                <w14:ligatures w14:val="none"/>
              </w:rPr>
              <w:t>List any special considerations.</w:t>
            </w:r>
          </w:p>
          <w:p w14:paraId="3BFAE68B" w14:textId="77777777" w:rsidR="00B83F11" w:rsidRPr="00B83F11" w:rsidRDefault="00B83F11" w:rsidP="00B83F11">
            <w:pPr>
              <w:spacing w:after="0" w:line="240" w:lineRule="auto"/>
              <w:contextualSpacing/>
              <w:rPr>
                <w:rFonts w:ascii="Arial" w:eastAsia="Times New Roman" w:hAnsi="Arial" w:cs="Arial"/>
                <w:bCs/>
                <w:kern w:val="0"/>
                <w:sz w:val="24"/>
                <w:szCs w:val="24"/>
                <w14:ligatures w14:val="none"/>
              </w:rPr>
            </w:pPr>
          </w:p>
          <w:p w14:paraId="236B4242"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Cs/>
                <w:color w:val="000000"/>
                <w:kern w:val="0"/>
                <w:sz w:val="24"/>
                <w:szCs w:val="24"/>
                <w14:ligatures w14:val="none"/>
              </w:rPr>
            </w:pPr>
            <w:r w:rsidRPr="00B83F11">
              <w:rPr>
                <w:rFonts w:ascii="Arial" w:eastAsia="Times New Roman" w:hAnsi="Arial" w:cs="Arial"/>
                <w:bCs/>
                <w:color w:val="000000"/>
                <w:kern w:val="0"/>
                <w:sz w:val="24"/>
                <w:szCs w:val="24"/>
                <w14:ligatures w14:val="none"/>
              </w:rPr>
              <w:t>Responsibilities of all prescribers:</w:t>
            </w:r>
          </w:p>
          <w:p w14:paraId="64D996B2"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sidRPr="00B83F11">
              <w:rPr>
                <w:rFonts w:ascii="Arial" w:eastAsia="Times New Roman" w:hAnsi="Arial" w:cs="Arial"/>
                <w:color w:val="000000"/>
                <w:kern w:val="0"/>
                <w:sz w:val="24"/>
                <w:szCs w:val="24"/>
                <w14:ligatures w14:val="none"/>
              </w:rPr>
              <w:t>Any serious reaction to an established drug should be reported to MHRA.</w:t>
            </w:r>
          </w:p>
        </w:tc>
      </w:tr>
      <w:tr w:rsidR="00B83F11" w:rsidRPr="00B83F11" w14:paraId="743112E2"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54"/>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15D7594D"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19. Supporting documentation</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0189A110" w14:textId="77777777" w:rsidR="00B83F11" w:rsidRPr="00B83F11" w:rsidRDefault="00B83F11" w:rsidP="00B83F11">
            <w:pPr>
              <w:widowControl w:val="0"/>
              <w:numPr>
                <w:ilvl w:val="0"/>
                <w:numId w:val="3"/>
              </w:numPr>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sidRPr="00B83F11">
              <w:rPr>
                <w:rFonts w:ascii="Arial" w:eastAsia="Times New Roman" w:hAnsi="Arial" w:cs="Arial"/>
                <w:color w:val="000000"/>
                <w:kern w:val="0"/>
                <w:sz w:val="24"/>
                <w:szCs w:val="24"/>
                <w14:ligatures w14:val="none"/>
              </w:rPr>
              <w:t>Include hyperlinks to the original sources and access dates</w:t>
            </w:r>
          </w:p>
          <w:p w14:paraId="17F49E3C" w14:textId="77777777" w:rsidR="00B83F11" w:rsidRPr="00B83F11" w:rsidRDefault="00B83F11" w:rsidP="00B83F11">
            <w:pPr>
              <w:widowControl w:val="0"/>
              <w:numPr>
                <w:ilvl w:val="0"/>
                <w:numId w:val="3"/>
              </w:numPr>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sidRPr="00B83F11">
              <w:rPr>
                <w:rFonts w:ascii="Arial" w:eastAsia="Times New Roman" w:hAnsi="Arial" w:cs="Arial"/>
                <w:color w:val="000000"/>
                <w:kern w:val="0"/>
                <w:sz w:val="24"/>
                <w:szCs w:val="24"/>
                <w14:ligatures w14:val="none"/>
              </w:rPr>
              <w:lastRenderedPageBreak/>
              <w:t>All Wales AWMSG Shared Care Framework</w:t>
            </w:r>
          </w:p>
          <w:p w14:paraId="1E6718DA" w14:textId="77777777" w:rsidR="00B83F11" w:rsidRPr="00B83F11" w:rsidRDefault="00B83F11" w:rsidP="00B83F11">
            <w:pPr>
              <w:widowControl w:val="0"/>
              <w:numPr>
                <w:ilvl w:val="0"/>
                <w:numId w:val="3"/>
              </w:numPr>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sidRPr="00B83F11">
              <w:rPr>
                <w:rFonts w:ascii="Arial" w:eastAsia="Times New Roman" w:hAnsi="Arial" w:cs="Arial"/>
                <w:color w:val="000000"/>
                <w:kern w:val="0"/>
                <w:sz w:val="24"/>
                <w:szCs w:val="24"/>
                <w14:ligatures w14:val="none"/>
              </w:rPr>
              <w:t xml:space="preserve">General Medical Council. Good practice in prescribing and managing medicines and devices. Shared care. Available from </w:t>
            </w:r>
            <w:hyperlink r:id="rId9" w:history="1">
              <w:r w:rsidRPr="00B83F11">
                <w:rPr>
                  <w:rFonts w:ascii="Arial" w:eastAsia="Times New Roman" w:hAnsi="Arial" w:cs="Arial"/>
                  <w:color w:val="0000FF"/>
                  <w:kern w:val="0"/>
                  <w:sz w:val="24"/>
                  <w:szCs w:val="24"/>
                  <w:u w:val="single"/>
                  <w14:ligatures w14:val="none"/>
                </w:rPr>
                <w:t>https://www.gmc-uk.org/ethical-guidance/ethical-guidance-for-doctors/good-practice-in-prescribing-and-managing-medicines-and-devices/shared-care</w:t>
              </w:r>
            </w:hyperlink>
          </w:p>
        </w:tc>
      </w:tr>
      <w:tr w:rsidR="00B83F11" w:rsidRPr="00B83F11" w14:paraId="4E10AAA8"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2"/>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19AE6CB1"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lastRenderedPageBreak/>
              <w:t>20. Patient monitoring booklet</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38C727B"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sidRPr="00B83F11">
              <w:rPr>
                <w:rFonts w:ascii="Arial" w:eastAsia="Times New Roman" w:hAnsi="Arial" w:cs="Arial"/>
                <w:color w:val="000000"/>
                <w:kern w:val="0"/>
                <w:sz w:val="24"/>
                <w:szCs w:val="24"/>
                <w14:ligatures w14:val="none"/>
              </w:rPr>
              <w:t>Include patient information leaflet if available</w:t>
            </w:r>
          </w:p>
        </w:tc>
      </w:tr>
      <w:tr w:rsidR="00B83F11" w:rsidRPr="00B83F11" w14:paraId="7A1E82EC"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2"/>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706FBDEE"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21. Primary care letter</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09D63792" w14:textId="368079B4" w:rsidR="00B83F11" w:rsidRPr="00B83F11" w:rsidRDefault="00A024C7"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r>
              <w:rPr>
                <w:rFonts w:ascii="Arial" w:eastAsia="Times New Roman" w:hAnsi="Arial" w:cs="Arial"/>
                <w:color w:val="000000"/>
                <w:kern w:val="0"/>
                <w:sz w:val="24"/>
                <w:szCs w:val="24"/>
                <w14:ligatures w14:val="none"/>
              </w:rPr>
              <w:t xml:space="preserve">See </w:t>
            </w:r>
            <w:r w:rsidRPr="00A024C7">
              <w:rPr>
                <w:rFonts w:ascii="Arial" w:eastAsia="Times New Roman" w:hAnsi="Arial" w:cs="Arial"/>
                <w:color w:val="000000"/>
                <w:kern w:val="0"/>
                <w:sz w:val="24"/>
                <w:szCs w:val="24"/>
                <w14:ligatures w14:val="none"/>
              </w:rPr>
              <w:t>Appendix 2</w:t>
            </w:r>
            <w:r>
              <w:rPr>
                <w:rFonts w:ascii="Arial" w:eastAsia="Times New Roman" w:hAnsi="Arial" w:cs="Arial"/>
                <w:color w:val="000000"/>
                <w:kern w:val="0"/>
                <w:sz w:val="24"/>
                <w:szCs w:val="24"/>
                <w14:ligatures w14:val="none"/>
              </w:rPr>
              <w:t>:</w:t>
            </w:r>
            <w:r w:rsidRPr="00A024C7">
              <w:rPr>
                <w:rFonts w:ascii="Arial" w:eastAsia="Times New Roman" w:hAnsi="Arial" w:cs="Arial"/>
                <w:color w:val="000000"/>
                <w:kern w:val="0"/>
                <w:sz w:val="24"/>
                <w:szCs w:val="24"/>
                <w14:ligatures w14:val="none"/>
              </w:rPr>
              <w:t xml:space="preserve"> Template letter - Request for shared care agreement (specialist to primary care prescriber)</w:t>
            </w:r>
            <w:r>
              <w:rPr>
                <w:rFonts w:ascii="Arial" w:eastAsia="Times New Roman" w:hAnsi="Arial" w:cs="Arial"/>
                <w:color w:val="000000"/>
                <w:kern w:val="0"/>
                <w:sz w:val="24"/>
                <w:szCs w:val="24"/>
                <w14:ligatures w14:val="none"/>
              </w:rPr>
              <w:t xml:space="preserve"> in the All Wales Shared Care Framework</w:t>
            </w:r>
          </w:p>
        </w:tc>
      </w:tr>
      <w:tr w:rsidR="00B83F11" w:rsidRPr="00B83F11" w14:paraId="3487F320"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2"/>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7F91A259"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22. Protocol date</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10E3209"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p>
          <w:p w14:paraId="68A246ED"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p>
        </w:tc>
      </w:tr>
      <w:tr w:rsidR="00B83F11" w:rsidRPr="00B83F11" w14:paraId="26D75BB2" w14:textId="77777777" w:rsidTr="00FD267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54"/>
        </w:trPr>
        <w:tc>
          <w:tcPr>
            <w:tcW w:w="1435" w:type="pct"/>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5E86E438" w14:textId="77777777" w:rsidR="00B83F11" w:rsidRPr="00B83F11" w:rsidRDefault="00B83F11" w:rsidP="00B83F11">
            <w:pPr>
              <w:widowControl w:val="0"/>
              <w:autoSpaceDE w:val="0"/>
              <w:autoSpaceDN w:val="0"/>
              <w:adjustRightInd w:val="0"/>
              <w:spacing w:after="0" w:line="240" w:lineRule="auto"/>
              <w:ind w:right="126"/>
              <w:contextualSpacing/>
              <w:rPr>
                <w:rFonts w:ascii="Arial" w:eastAsia="Times New Roman" w:hAnsi="Arial" w:cs="Arial"/>
                <w:b/>
                <w:color w:val="000000"/>
                <w:kern w:val="0"/>
                <w:sz w:val="24"/>
                <w:szCs w:val="24"/>
                <w14:ligatures w14:val="none"/>
              </w:rPr>
            </w:pPr>
            <w:r w:rsidRPr="00B83F11">
              <w:rPr>
                <w:rFonts w:ascii="Arial" w:eastAsia="Times New Roman" w:hAnsi="Arial" w:cs="Arial"/>
                <w:b/>
                <w:color w:val="000000"/>
                <w:kern w:val="0"/>
                <w:sz w:val="24"/>
                <w:szCs w:val="24"/>
                <w14:ligatures w14:val="none"/>
              </w:rPr>
              <w:t>23. Protocol review date</w:t>
            </w:r>
          </w:p>
        </w:tc>
        <w:tc>
          <w:tcPr>
            <w:tcW w:w="3565" w:type="pct"/>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7EE3120"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p>
          <w:p w14:paraId="07DF9157" w14:textId="77777777" w:rsidR="00B83F11" w:rsidRPr="00B83F11" w:rsidRDefault="00B83F11" w:rsidP="00B83F11">
            <w:pPr>
              <w:widowControl w:val="0"/>
              <w:autoSpaceDE w:val="0"/>
              <w:autoSpaceDN w:val="0"/>
              <w:adjustRightInd w:val="0"/>
              <w:spacing w:after="0" w:line="240" w:lineRule="auto"/>
              <w:contextualSpacing/>
              <w:rPr>
                <w:rFonts w:ascii="Arial" w:eastAsia="Times New Roman" w:hAnsi="Arial" w:cs="Arial"/>
                <w:color w:val="000000"/>
                <w:kern w:val="0"/>
                <w:sz w:val="24"/>
                <w:szCs w:val="24"/>
                <w14:ligatures w14:val="none"/>
              </w:rPr>
            </w:pPr>
          </w:p>
        </w:tc>
      </w:tr>
    </w:tbl>
    <w:p w14:paraId="2EE59222" w14:textId="77777777" w:rsidR="00B83F11" w:rsidRPr="00B83F11" w:rsidRDefault="00B83F11" w:rsidP="00B83F11">
      <w:pPr>
        <w:spacing w:after="0" w:line="240" w:lineRule="auto"/>
        <w:rPr>
          <w:rFonts w:ascii="Arial" w:eastAsia="Times New Roman" w:hAnsi="Arial" w:cs="Times New Roman"/>
          <w:kern w:val="0"/>
          <w:sz w:val="24"/>
          <w:szCs w:val="24"/>
          <w14:ligatures w14:val="none"/>
        </w:rPr>
      </w:pPr>
    </w:p>
    <w:p w14:paraId="1151C854" w14:textId="6D40EF01" w:rsidR="00BB2A04" w:rsidRPr="007A3809" w:rsidRDefault="00BB2A04" w:rsidP="007A3809">
      <w:pPr>
        <w:spacing w:after="0" w:line="240" w:lineRule="auto"/>
        <w:rPr>
          <w:rFonts w:ascii="Arial" w:eastAsia="Times New Roman" w:hAnsi="Arial" w:cs="Times New Roman"/>
          <w:kern w:val="0"/>
          <w:sz w:val="24"/>
          <w:szCs w:val="24"/>
          <w14:ligatures w14:val="none"/>
        </w:rPr>
      </w:pPr>
    </w:p>
    <w:sectPr w:rsidR="00BB2A04" w:rsidRPr="007A3809" w:rsidSect="00A024C7">
      <w:headerReference w:type="even" r:id="rId10"/>
      <w:headerReference w:type="default" r:id="rId11"/>
      <w:footerReference w:type="default" r:id="rId12"/>
      <w:pgSz w:w="11906" w:h="16838"/>
      <w:pgMar w:top="1134" w:right="1418"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B751AC" w14:textId="77777777" w:rsidR="00B83F11" w:rsidRDefault="00B83F11" w:rsidP="00B83F11">
      <w:pPr>
        <w:spacing w:after="0" w:line="240" w:lineRule="auto"/>
      </w:pPr>
      <w:r>
        <w:separator/>
      </w:r>
    </w:p>
  </w:endnote>
  <w:endnote w:type="continuationSeparator" w:id="0">
    <w:p w14:paraId="60F68452" w14:textId="77777777" w:rsidR="00B83F11" w:rsidRDefault="00B83F11" w:rsidP="00B83F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8703D" w14:textId="4B642481" w:rsidR="00420883" w:rsidRDefault="00420883" w:rsidP="00A024C7">
    <w:pPr>
      <w:pStyle w:val="Header"/>
      <w:jc w:val="both"/>
    </w:pPr>
    <w:r w:rsidRPr="006F3D43">
      <w:rPr>
        <w:rFonts w:ascii="Arial" w:hAnsi="Arial" w:cs="Arial"/>
        <w:b/>
        <w:bCs/>
        <w:color w:val="C00000"/>
        <w:sz w:val="24"/>
        <w:szCs w:val="24"/>
      </w:rPr>
      <w:t>All Wales Medicines Strategy Group</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3B707" w14:textId="77777777" w:rsidR="00B83F11" w:rsidRDefault="00B83F11" w:rsidP="00B83F11">
      <w:pPr>
        <w:spacing w:after="0" w:line="240" w:lineRule="auto"/>
      </w:pPr>
      <w:r>
        <w:separator/>
      </w:r>
    </w:p>
  </w:footnote>
  <w:footnote w:type="continuationSeparator" w:id="0">
    <w:p w14:paraId="38887276" w14:textId="77777777" w:rsidR="00B83F11" w:rsidRDefault="00B83F11" w:rsidP="00B83F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B3C5D" w14:textId="77777777" w:rsidR="00B83F11" w:rsidRPr="00B83F11" w:rsidRDefault="00B83F11" w:rsidP="00B83F11">
    <w:pPr>
      <w:pStyle w:val="Header"/>
      <w:jc w:val="both"/>
      <w:rPr>
        <w:rFonts w:ascii="Arial" w:hAnsi="Arial" w:cs="Arial"/>
        <w:b/>
        <w:bCs/>
        <w:color w:val="C00000"/>
        <w:sz w:val="24"/>
        <w:szCs w:val="24"/>
      </w:rPr>
    </w:pPr>
    <w:r w:rsidRPr="00B83F11">
      <w:rPr>
        <w:rFonts w:ascii="Arial" w:hAnsi="Arial" w:cs="Arial"/>
        <w:b/>
        <w:bCs/>
        <w:color w:val="C00000"/>
        <w:sz w:val="24"/>
        <w:szCs w:val="24"/>
      </w:rPr>
      <w:t>All Wales Medicines Strategy Group</w:t>
    </w:r>
  </w:p>
  <w:p w14:paraId="4E294E40" w14:textId="77777777" w:rsidR="00B83F11" w:rsidRDefault="00B83F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33A13" w14:textId="79C9BCFD" w:rsidR="00B83F11" w:rsidRDefault="00B83F11" w:rsidP="00A024C7">
    <w:pPr>
      <w:pStyle w:val="Header"/>
      <w:jc w:val="right"/>
    </w:pPr>
    <w:r w:rsidRPr="00B83F11">
      <w:rPr>
        <w:rFonts w:ascii="Arial" w:hAnsi="Arial" w:cs="Arial"/>
        <w:b/>
        <w:bCs/>
        <w:color w:val="09396D"/>
        <w:sz w:val="24"/>
        <w:szCs w:val="24"/>
      </w:rPr>
      <w:t>All Wales Shared Care Framework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83A8F"/>
    <w:multiLevelType w:val="hybridMultilevel"/>
    <w:tmpl w:val="8474E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4D84FD6"/>
    <w:multiLevelType w:val="hybridMultilevel"/>
    <w:tmpl w:val="32541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E911DB3"/>
    <w:multiLevelType w:val="hybridMultilevel"/>
    <w:tmpl w:val="4DDC87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48242715">
    <w:abstractNumId w:val="0"/>
  </w:num>
  <w:num w:numId="2" w16cid:durableId="935407382">
    <w:abstractNumId w:val="2"/>
  </w:num>
  <w:num w:numId="3" w16cid:durableId="11507099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F11"/>
    <w:rsid w:val="000A2828"/>
    <w:rsid w:val="00420883"/>
    <w:rsid w:val="006A61FB"/>
    <w:rsid w:val="007A3809"/>
    <w:rsid w:val="007A4F78"/>
    <w:rsid w:val="009822CC"/>
    <w:rsid w:val="00A024C7"/>
    <w:rsid w:val="00A526EC"/>
    <w:rsid w:val="00B72B11"/>
    <w:rsid w:val="00B83F11"/>
    <w:rsid w:val="00BB2A04"/>
    <w:rsid w:val="00C0039B"/>
    <w:rsid w:val="00DA20B5"/>
    <w:rsid w:val="00ED23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B2CD8"/>
  <w15:chartTrackingRefBased/>
  <w15:docId w15:val="{80A9FB1C-F640-46F1-962F-76D402FE7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83F1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83F1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83F1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83F1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83F1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83F1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83F1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83F1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83F1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3F1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83F1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83F1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83F1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83F1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83F1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83F1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83F1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83F11"/>
    <w:rPr>
      <w:rFonts w:eastAsiaTheme="majorEastAsia" w:cstheme="majorBidi"/>
      <w:color w:val="272727" w:themeColor="text1" w:themeTint="D8"/>
    </w:rPr>
  </w:style>
  <w:style w:type="paragraph" w:styleId="Title">
    <w:name w:val="Title"/>
    <w:basedOn w:val="Normal"/>
    <w:next w:val="Normal"/>
    <w:link w:val="TitleChar"/>
    <w:uiPriority w:val="10"/>
    <w:qFormat/>
    <w:rsid w:val="00B83F1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3F1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83F1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83F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83F11"/>
    <w:pPr>
      <w:spacing w:before="160"/>
      <w:jc w:val="center"/>
    </w:pPr>
    <w:rPr>
      <w:i/>
      <w:iCs/>
      <w:color w:val="404040" w:themeColor="text1" w:themeTint="BF"/>
    </w:rPr>
  </w:style>
  <w:style w:type="character" w:customStyle="1" w:styleId="QuoteChar">
    <w:name w:val="Quote Char"/>
    <w:basedOn w:val="DefaultParagraphFont"/>
    <w:link w:val="Quote"/>
    <w:uiPriority w:val="29"/>
    <w:rsid w:val="00B83F11"/>
    <w:rPr>
      <w:i/>
      <w:iCs/>
      <w:color w:val="404040" w:themeColor="text1" w:themeTint="BF"/>
    </w:rPr>
  </w:style>
  <w:style w:type="paragraph" w:styleId="ListParagraph">
    <w:name w:val="List Paragraph"/>
    <w:basedOn w:val="Normal"/>
    <w:uiPriority w:val="34"/>
    <w:qFormat/>
    <w:rsid w:val="00B83F11"/>
    <w:pPr>
      <w:ind w:left="720"/>
      <w:contextualSpacing/>
    </w:pPr>
  </w:style>
  <w:style w:type="character" w:styleId="IntenseEmphasis">
    <w:name w:val="Intense Emphasis"/>
    <w:basedOn w:val="DefaultParagraphFont"/>
    <w:uiPriority w:val="21"/>
    <w:qFormat/>
    <w:rsid w:val="00B83F11"/>
    <w:rPr>
      <w:i/>
      <w:iCs/>
      <w:color w:val="0F4761" w:themeColor="accent1" w:themeShade="BF"/>
    </w:rPr>
  </w:style>
  <w:style w:type="paragraph" w:styleId="IntenseQuote">
    <w:name w:val="Intense Quote"/>
    <w:basedOn w:val="Normal"/>
    <w:next w:val="Normal"/>
    <w:link w:val="IntenseQuoteChar"/>
    <w:uiPriority w:val="30"/>
    <w:qFormat/>
    <w:rsid w:val="00B83F1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83F11"/>
    <w:rPr>
      <w:i/>
      <w:iCs/>
      <w:color w:val="0F4761" w:themeColor="accent1" w:themeShade="BF"/>
    </w:rPr>
  </w:style>
  <w:style w:type="character" w:styleId="IntenseReference">
    <w:name w:val="Intense Reference"/>
    <w:basedOn w:val="DefaultParagraphFont"/>
    <w:uiPriority w:val="32"/>
    <w:qFormat/>
    <w:rsid w:val="00B83F11"/>
    <w:rPr>
      <w:b/>
      <w:bCs/>
      <w:smallCaps/>
      <w:color w:val="0F4761" w:themeColor="accent1" w:themeShade="BF"/>
      <w:spacing w:val="5"/>
    </w:rPr>
  </w:style>
  <w:style w:type="paragraph" w:styleId="Header">
    <w:name w:val="header"/>
    <w:basedOn w:val="Normal"/>
    <w:link w:val="HeaderChar"/>
    <w:unhideWhenUsed/>
    <w:rsid w:val="00B83F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3F11"/>
  </w:style>
  <w:style w:type="paragraph" w:styleId="Footer">
    <w:name w:val="footer"/>
    <w:basedOn w:val="Normal"/>
    <w:link w:val="FooterChar"/>
    <w:uiPriority w:val="99"/>
    <w:unhideWhenUsed/>
    <w:rsid w:val="00B83F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3F11"/>
  </w:style>
  <w:style w:type="paragraph" w:styleId="Revision">
    <w:name w:val="Revision"/>
    <w:hidden/>
    <w:uiPriority w:val="99"/>
    <w:semiHidden/>
    <w:rsid w:val="007A4F78"/>
    <w:pPr>
      <w:spacing w:after="0" w:line="240" w:lineRule="auto"/>
    </w:pPr>
  </w:style>
  <w:style w:type="character" w:styleId="CommentReference">
    <w:name w:val="annotation reference"/>
    <w:basedOn w:val="DefaultParagraphFont"/>
    <w:uiPriority w:val="99"/>
    <w:semiHidden/>
    <w:unhideWhenUsed/>
    <w:rsid w:val="009822CC"/>
    <w:rPr>
      <w:sz w:val="16"/>
      <w:szCs w:val="16"/>
    </w:rPr>
  </w:style>
  <w:style w:type="paragraph" w:styleId="CommentText">
    <w:name w:val="annotation text"/>
    <w:basedOn w:val="Normal"/>
    <w:link w:val="CommentTextChar"/>
    <w:uiPriority w:val="99"/>
    <w:unhideWhenUsed/>
    <w:rsid w:val="009822CC"/>
    <w:pPr>
      <w:spacing w:line="240" w:lineRule="auto"/>
    </w:pPr>
    <w:rPr>
      <w:sz w:val="20"/>
      <w:szCs w:val="20"/>
    </w:rPr>
  </w:style>
  <w:style w:type="character" w:customStyle="1" w:styleId="CommentTextChar">
    <w:name w:val="Comment Text Char"/>
    <w:basedOn w:val="DefaultParagraphFont"/>
    <w:link w:val="CommentText"/>
    <w:uiPriority w:val="99"/>
    <w:rsid w:val="009822CC"/>
    <w:rPr>
      <w:sz w:val="20"/>
      <w:szCs w:val="20"/>
    </w:rPr>
  </w:style>
  <w:style w:type="paragraph" w:styleId="CommentSubject">
    <w:name w:val="annotation subject"/>
    <w:basedOn w:val="CommentText"/>
    <w:next w:val="CommentText"/>
    <w:link w:val="CommentSubjectChar"/>
    <w:uiPriority w:val="99"/>
    <w:semiHidden/>
    <w:unhideWhenUsed/>
    <w:rsid w:val="009822CC"/>
    <w:rPr>
      <w:b/>
      <w:bCs/>
    </w:rPr>
  </w:style>
  <w:style w:type="character" w:customStyle="1" w:styleId="CommentSubjectChar">
    <w:name w:val="Comment Subject Char"/>
    <w:basedOn w:val="CommentTextChar"/>
    <w:link w:val="CommentSubject"/>
    <w:uiPriority w:val="99"/>
    <w:semiHidden/>
    <w:rsid w:val="009822C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ellowcard.mhra.gov.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edicines.org.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gmc-uk.org/ethical-guidance/ethical-guidance-for-doctors/good-practice-in-prescribing-and-managing-medicines-and-devices/shared-car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6</Pages>
  <Words>1192</Words>
  <Characters>6798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Cardiff and Vale UHB</Company>
  <LinksUpToDate>false</LinksUpToDate>
  <CharactersWithSpaces>7975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Haines (Cardiff and Vale UHB - Awttc)</dc:creator>
  <cp:keywords/>
  <dc:description/>
  <cp:lastModifiedBy>David Haines (Cardiff and Vale UHB - Awttc)</cp:lastModifiedBy>
  <cp:revision>6</cp:revision>
  <dcterms:created xsi:type="dcterms:W3CDTF">2025-07-22T10:41:00Z</dcterms:created>
  <dcterms:modified xsi:type="dcterms:W3CDTF">2025-07-29T10:56:00Z</dcterms:modified>
</cp:coreProperties>
</file>